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60FA5">
      <w:pPr>
        <w:jc w:val="center"/>
        <w:rPr>
          <w:rFonts w:ascii="宋体" w:hAnsi="宋体" w:cs="Arial"/>
          <w:b/>
          <w:sz w:val="32"/>
          <w:szCs w:val="32"/>
        </w:rPr>
      </w:pPr>
    </w:p>
    <w:p w14:paraId="2CB21CCC">
      <w:pPr>
        <w:jc w:val="center"/>
        <w:rPr>
          <w:rFonts w:ascii="宋体" w:hAnsi="宋体" w:cs="Arial"/>
          <w:b/>
          <w:sz w:val="32"/>
          <w:szCs w:val="32"/>
        </w:rPr>
      </w:pPr>
      <w:r>
        <w:rPr>
          <w:rFonts w:ascii="宋体" w:hAnsi="宋体" w:cs="Arial"/>
          <w:b/>
          <w:sz w:val="32"/>
          <w:szCs w:val="32"/>
        </w:rPr>
        <w:t>永兴特种材料科技股份有限公司</w:t>
      </w:r>
    </w:p>
    <w:p w14:paraId="789CB119">
      <w:pPr>
        <w:jc w:val="center"/>
        <w:rPr>
          <w:rFonts w:ascii="宋体" w:hAnsi="宋体" w:cs="Arial"/>
          <w:b/>
          <w:sz w:val="32"/>
          <w:szCs w:val="32"/>
        </w:rPr>
      </w:pPr>
      <w:r>
        <w:rPr>
          <w:rFonts w:ascii="宋体" w:hAnsi="宋体" w:cs="Arial"/>
          <w:b/>
          <w:sz w:val="32"/>
          <w:szCs w:val="32"/>
        </w:rPr>
        <w:t>关联交易决策制度</w:t>
      </w:r>
    </w:p>
    <w:p w14:paraId="7C3C3926">
      <w:pPr>
        <w:jc w:val="center"/>
        <w:rPr>
          <w:rFonts w:ascii="Arial" w:hAnsi="Arial" w:eastAsia="黑体" w:cs="Arial"/>
          <w:b/>
          <w:sz w:val="32"/>
          <w:szCs w:val="32"/>
        </w:rPr>
      </w:pPr>
    </w:p>
    <w:p w14:paraId="18488534">
      <w:pPr>
        <w:pStyle w:val="18"/>
        <w:spacing w:line="312" w:lineRule="auto"/>
        <w:ind w:right="120" w:firstLine="480" w:firstLineChars="200"/>
        <w:jc w:val="both"/>
        <w:rPr>
          <w:rFonts w:hAnsi="宋体" w:cs="Times New Roman"/>
        </w:rPr>
      </w:pPr>
      <w:r>
        <w:rPr>
          <w:rFonts w:hint="eastAsia" w:hAnsi="宋体"/>
        </w:rPr>
        <w:t>为进一步完善永兴特种材料科技股份有限公司</w:t>
      </w:r>
      <w:r>
        <w:rPr>
          <w:rFonts w:hAnsi="宋体" w:cs="Arial"/>
        </w:rPr>
        <w:t>(</w:t>
      </w:r>
      <w:r>
        <w:rPr>
          <w:rFonts w:hint="eastAsia" w:hAnsi="宋体"/>
        </w:rPr>
        <w:t>以下简称“公司”</w:t>
      </w:r>
      <w:r>
        <w:rPr>
          <w:rFonts w:hAnsi="宋体" w:cs="Arial"/>
        </w:rPr>
        <w:t>)</w:t>
      </w:r>
      <w:r>
        <w:rPr>
          <w:rFonts w:hint="eastAsia" w:hAnsi="宋体"/>
        </w:rPr>
        <w:t>治理</w:t>
      </w:r>
      <w:r>
        <w:rPr>
          <w:rFonts w:hAnsi="宋体" w:cs="Arial"/>
        </w:rPr>
        <w:t xml:space="preserve">, </w:t>
      </w:r>
      <w:r>
        <w:rPr>
          <w:rFonts w:hint="eastAsia" w:hAnsi="宋体"/>
        </w:rPr>
        <w:t>规范关联交易</w:t>
      </w:r>
      <w:r>
        <w:rPr>
          <w:rFonts w:hAnsi="宋体" w:cs="Arial"/>
        </w:rPr>
        <w:t xml:space="preserve">, </w:t>
      </w:r>
      <w:r>
        <w:rPr>
          <w:rFonts w:hint="eastAsia" w:hAnsi="宋体"/>
        </w:rPr>
        <w:t>充分保障商事活动的公允性</w:t>
      </w:r>
      <w:r>
        <w:rPr>
          <w:rFonts w:hAnsi="宋体" w:cs="Arial"/>
        </w:rPr>
        <w:t xml:space="preserve">, </w:t>
      </w:r>
      <w:r>
        <w:rPr>
          <w:rFonts w:hint="eastAsia" w:hAnsi="宋体"/>
        </w:rPr>
        <w:t>维护公司及股东的合法权益</w:t>
      </w:r>
      <w:r>
        <w:rPr>
          <w:rFonts w:hAnsi="宋体" w:cs="Arial"/>
        </w:rPr>
        <w:t xml:space="preserve">, </w:t>
      </w:r>
      <w:r>
        <w:rPr>
          <w:rFonts w:hint="eastAsia" w:hAnsi="宋体"/>
        </w:rPr>
        <w:t>根据《中华人民共和国公司法》《中华人民共和国证券法》《深圳证券交易所股票上市规则》以及《永兴特种材料科技股份有限公司章程》</w:t>
      </w:r>
      <w:r>
        <w:rPr>
          <w:rFonts w:hAnsi="宋体" w:cs="Arial"/>
        </w:rPr>
        <w:t>(</w:t>
      </w:r>
      <w:r>
        <w:rPr>
          <w:rFonts w:hint="eastAsia" w:hAnsi="宋体"/>
        </w:rPr>
        <w:t>以下简称“《公司章程》”</w:t>
      </w:r>
      <w:r>
        <w:rPr>
          <w:rFonts w:hAnsi="宋体" w:cs="Arial"/>
        </w:rPr>
        <w:t>)</w:t>
      </w:r>
      <w:r>
        <w:rPr>
          <w:rFonts w:hint="eastAsia" w:hAnsi="宋体"/>
        </w:rPr>
        <w:t>等相关规定</w:t>
      </w:r>
      <w:r>
        <w:rPr>
          <w:rFonts w:hAnsi="宋体" w:cs="Arial"/>
        </w:rPr>
        <w:t xml:space="preserve">, </w:t>
      </w:r>
      <w:r>
        <w:rPr>
          <w:rFonts w:hint="eastAsia" w:hAnsi="宋体"/>
        </w:rPr>
        <w:t>制订本制度。</w:t>
      </w:r>
    </w:p>
    <w:p w14:paraId="7D05342C">
      <w:pPr>
        <w:pStyle w:val="17"/>
        <w:spacing w:line="312" w:lineRule="auto"/>
        <w:jc w:val="both"/>
        <w:rPr>
          <w:rFonts w:hAnsi="宋体" w:cs="Times New Roman"/>
        </w:rPr>
      </w:pPr>
    </w:p>
    <w:p w14:paraId="7C9879AB">
      <w:pPr>
        <w:pStyle w:val="18"/>
        <w:tabs>
          <w:tab w:val="left" w:pos="1276"/>
        </w:tabs>
        <w:spacing w:line="312" w:lineRule="auto"/>
        <w:ind w:left="1330" w:right="120" w:hanging="1329" w:hangingChars="554"/>
        <w:jc w:val="both"/>
        <w:rPr>
          <w:rFonts w:hAnsi="宋体" w:cs="Times New Roman"/>
          <w:color w:val="000000"/>
        </w:rPr>
      </w:pPr>
      <w:r>
        <w:rPr>
          <w:rFonts w:hint="eastAsia" w:hAnsi="宋体"/>
          <w:bCs/>
          <w:color w:val="000000"/>
        </w:rPr>
        <w:t>第一条</w:t>
      </w:r>
      <w:r>
        <w:rPr>
          <w:rFonts w:hAnsi="宋体" w:cs="Arial"/>
          <w:bCs/>
          <w:color w:val="000000"/>
        </w:rPr>
        <w:tab/>
      </w:r>
      <w:r>
        <w:rPr>
          <w:rFonts w:hint="eastAsia" w:hAnsi="宋体"/>
          <w:color w:val="000000"/>
        </w:rPr>
        <w:t>公司在确认和处理有关关联方之间关联关系与关联交易时</w:t>
      </w:r>
      <w:r>
        <w:rPr>
          <w:rFonts w:hAnsi="宋体" w:cs="Arial"/>
          <w:color w:val="000000"/>
        </w:rPr>
        <w:t xml:space="preserve">, </w:t>
      </w:r>
      <w:r>
        <w:rPr>
          <w:rFonts w:hint="eastAsia" w:hAnsi="宋体"/>
          <w:color w:val="000000"/>
        </w:rPr>
        <w:t>须遵循并贯彻以下基本原则</w:t>
      </w:r>
      <w:r>
        <w:rPr>
          <w:rFonts w:hAnsi="宋体" w:cs="Arial"/>
          <w:color w:val="000000"/>
        </w:rPr>
        <w:t xml:space="preserve">: </w:t>
      </w:r>
    </w:p>
    <w:p w14:paraId="18B02CEB">
      <w:pPr>
        <w:pStyle w:val="18"/>
        <w:tabs>
          <w:tab w:val="left" w:pos="2127"/>
        </w:tabs>
        <w:spacing w:line="312" w:lineRule="auto"/>
        <w:ind w:left="1275" w:leftChars="607" w:right="120" w:rightChars="57"/>
        <w:jc w:val="both"/>
        <w:rPr>
          <w:rFonts w:hAnsi="宋体" w:cs="Arial"/>
          <w:color w:val="000000"/>
        </w:rPr>
      </w:pPr>
      <w:r>
        <w:rPr>
          <w:rFonts w:hAnsi="宋体" w:cs="Arial"/>
          <w:color w:val="000000"/>
        </w:rPr>
        <w:t>(</w:t>
      </w:r>
      <w:r>
        <w:rPr>
          <w:rFonts w:hint="eastAsia" w:hAnsi="宋体"/>
          <w:color w:val="000000"/>
        </w:rPr>
        <w:t>一</w:t>
      </w:r>
      <w:r>
        <w:rPr>
          <w:rFonts w:hAnsi="宋体" w:cs="Arial"/>
          <w:color w:val="000000"/>
        </w:rPr>
        <w:t>)</w:t>
      </w:r>
      <w:r>
        <w:rPr>
          <w:rFonts w:hAnsi="宋体" w:cs="Times New Roman"/>
          <w:color w:val="000000"/>
        </w:rPr>
        <w:tab/>
      </w:r>
      <w:r>
        <w:rPr>
          <w:rFonts w:hint="eastAsia" w:hAnsi="宋体"/>
          <w:color w:val="000000"/>
        </w:rPr>
        <w:t>尽量避免或减少与关联方之间的关联交易</w:t>
      </w:r>
      <w:r>
        <w:rPr>
          <w:rFonts w:hAnsi="宋体" w:cs="Arial"/>
          <w:color w:val="000000"/>
        </w:rPr>
        <w:t xml:space="preserve">; </w:t>
      </w:r>
    </w:p>
    <w:p w14:paraId="1B876D64">
      <w:pPr>
        <w:pStyle w:val="18"/>
        <w:tabs>
          <w:tab w:val="left" w:pos="2127"/>
        </w:tabs>
        <w:spacing w:line="312" w:lineRule="auto"/>
        <w:ind w:left="2115" w:leftChars="607" w:right="120" w:rightChars="57" w:hanging="840" w:hangingChars="350"/>
        <w:jc w:val="both"/>
        <w:rPr>
          <w:rFonts w:hAnsi="宋体" w:cs="Arial"/>
          <w:color w:val="000000"/>
        </w:rPr>
      </w:pPr>
      <w:r>
        <w:rPr>
          <w:rFonts w:hAnsi="宋体" w:cs="Arial"/>
          <w:color w:val="000000"/>
        </w:rPr>
        <w:t>(</w:t>
      </w:r>
      <w:r>
        <w:rPr>
          <w:rFonts w:hint="eastAsia" w:hAnsi="宋体"/>
          <w:color w:val="000000"/>
        </w:rPr>
        <w:t>二</w:t>
      </w:r>
      <w:r>
        <w:rPr>
          <w:rFonts w:hAnsi="宋体" w:cs="Arial"/>
          <w:color w:val="000000"/>
        </w:rPr>
        <w:t>)</w:t>
      </w:r>
      <w:r>
        <w:rPr>
          <w:rFonts w:hAnsi="宋体" w:cs="Times New Roman"/>
          <w:color w:val="000000"/>
        </w:rPr>
        <w:tab/>
      </w:r>
      <w:r>
        <w:rPr>
          <w:rFonts w:hint="eastAsia" w:hAnsi="宋体"/>
          <w:color w:val="000000"/>
        </w:rPr>
        <w:t>关联方如享有公司股东会表决权</w:t>
      </w:r>
      <w:r>
        <w:rPr>
          <w:rFonts w:hAnsi="宋体" w:cs="Arial"/>
          <w:color w:val="000000"/>
        </w:rPr>
        <w:t xml:space="preserve">, </w:t>
      </w:r>
      <w:r>
        <w:rPr>
          <w:rFonts w:hint="eastAsia" w:hAnsi="宋体"/>
          <w:color w:val="000000"/>
        </w:rPr>
        <w:t>除特殊情况外</w:t>
      </w:r>
      <w:r>
        <w:rPr>
          <w:rFonts w:hAnsi="宋体" w:cs="Arial"/>
          <w:color w:val="000000"/>
        </w:rPr>
        <w:t xml:space="preserve">, </w:t>
      </w:r>
      <w:r>
        <w:rPr>
          <w:rFonts w:hint="eastAsia" w:hAnsi="宋体"/>
          <w:color w:val="000000"/>
        </w:rPr>
        <w:t>应当回避表决</w:t>
      </w:r>
      <w:r>
        <w:rPr>
          <w:rFonts w:hAnsi="宋体" w:cs="Arial"/>
          <w:color w:val="000000"/>
        </w:rPr>
        <w:t xml:space="preserve">; </w:t>
      </w:r>
    </w:p>
    <w:p w14:paraId="6E83D060">
      <w:pPr>
        <w:pStyle w:val="18"/>
        <w:spacing w:line="312" w:lineRule="auto"/>
        <w:ind w:left="2127" w:leftChars="607" w:right="120" w:rightChars="57" w:hanging="852" w:hangingChars="355"/>
        <w:jc w:val="both"/>
        <w:rPr>
          <w:rFonts w:hAnsi="宋体" w:cs="Arial"/>
          <w:color w:val="000000"/>
        </w:rPr>
      </w:pPr>
      <w:r>
        <w:rPr>
          <w:rFonts w:hAnsi="宋体" w:cs="Arial"/>
          <w:color w:val="000000"/>
        </w:rPr>
        <w:t>(</w:t>
      </w:r>
      <w:r>
        <w:rPr>
          <w:rFonts w:hint="eastAsia" w:hAnsi="宋体"/>
          <w:color w:val="000000"/>
        </w:rPr>
        <w:t>三</w:t>
      </w:r>
      <w:r>
        <w:rPr>
          <w:rFonts w:hAnsi="宋体" w:cs="Arial"/>
          <w:color w:val="000000"/>
        </w:rPr>
        <w:t>)</w:t>
      </w:r>
      <w:r>
        <w:rPr>
          <w:rFonts w:hAnsi="宋体" w:cs="Times New Roman"/>
          <w:color w:val="000000"/>
        </w:rPr>
        <w:tab/>
      </w:r>
      <w:r>
        <w:rPr>
          <w:rFonts w:hint="eastAsia" w:hAnsi="宋体" w:cs="Times New Roman"/>
          <w:color w:val="000000"/>
        </w:rPr>
        <w:t xml:space="preserve"> </w:t>
      </w:r>
      <w:r>
        <w:rPr>
          <w:rFonts w:hint="eastAsia" w:hAnsi="宋体"/>
          <w:color w:val="000000"/>
        </w:rPr>
        <w:t>与关联方有任何利害关系的董事</w:t>
      </w:r>
      <w:r>
        <w:rPr>
          <w:rFonts w:hAnsi="宋体" w:cs="Arial"/>
          <w:color w:val="000000"/>
        </w:rPr>
        <w:t xml:space="preserve">, </w:t>
      </w:r>
      <w:r>
        <w:rPr>
          <w:rFonts w:hint="eastAsia" w:hAnsi="宋体"/>
          <w:color w:val="000000"/>
        </w:rPr>
        <w:t>在董事会对该事项进行表决时</w:t>
      </w:r>
      <w:r>
        <w:rPr>
          <w:rFonts w:hAnsi="宋体" w:cs="Arial"/>
          <w:color w:val="000000"/>
        </w:rPr>
        <w:t xml:space="preserve">, </w:t>
      </w:r>
      <w:r>
        <w:rPr>
          <w:rFonts w:hint="eastAsia" w:hAnsi="宋体"/>
          <w:color w:val="000000"/>
        </w:rPr>
        <w:t>应当予以回避</w:t>
      </w:r>
      <w:r>
        <w:rPr>
          <w:rFonts w:hAnsi="宋体" w:cs="Arial"/>
          <w:color w:val="000000"/>
        </w:rPr>
        <w:t xml:space="preserve">; </w:t>
      </w:r>
    </w:p>
    <w:p w14:paraId="6AE4308E">
      <w:pPr>
        <w:pStyle w:val="18"/>
        <w:spacing w:line="312" w:lineRule="auto"/>
        <w:ind w:left="2163" w:leftChars="607" w:right="120" w:rightChars="57" w:hanging="888" w:hangingChars="370"/>
        <w:jc w:val="both"/>
        <w:rPr>
          <w:rFonts w:hAnsi="宋体" w:cs="Arial"/>
        </w:rPr>
      </w:pPr>
      <w:r>
        <w:rPr>
          <w:rFonts w:hAnsi="宋体" w:cs="Arial"/>
        </w:rPr>
        <w:t>(</w:t>
      </w:r>
      <w:r>
        <w:rPr>
          <w:rFonts w:hint="eastAsia" w:hAnsi="宋体"/>
        </w:rPr>
        <w:t>四</w:t>
      </w:r>
      <w:r>
        <w:rPr>
          <w:rFonts w:hAnsi="宋体" w:cs="Arial"/>
        </w:rPr>
        <w:t>)</w:t>
      </w:r>
      <w:r>
        <w:rPr>
          <w:rFonts w:hAnsi="宋体" w:cs="Times New Roman"/>
        </w:rPr>
        <w:tab/>
      </w:r>
      <w:r>
        <w:rPr>
          <w:rFonts w:hint="eastAsia" w:hAnsi="宋体"/>
        </w:rPr>
        <w:t>公司董事会应当根据客观标准判断该关联交易是否对公司有利。必要时应当聘请独立财务顾问或专业评估师</w:t>
      </w:r>
      <w:r>
        <w:rPr>
          <w:rFonts w:hAnsi="宋体" w:cs="Arial"/>
        </w:rPr>
        <w:t xml:space="preserve">; </w:t>
      </w:r>
    </w:p>
    <w:p w14:paraId="1D0AC4AC">
      <w:pPr>
        <w:pStyle w:val="18"/>
        <w:spacing w:line="312" w:lineRule="auto"/>
        <w:ind w:left="2163" w:leftChars="607" w:right="120" w:rightChars="57" w:hanging="888" w:hangingChars="370"/>
        <w:jc w:val="both"/>
        <w:rPr>
          <w:rFonts w:hAnsi="宋体" w:cs="Arial"/>
        </w:rPr>
      </w:pPr>
      <w:r>
        <w:rPr>
          <w:rFonts w:hAnsi="宋体" w:cs="Arial"/>
        </w:rPr>
        <w:t>(</w:t>
      </w:r>
      <w:r>
        <w:rPr>
          <w:rFonts w:hint="eastAsia" w:hAnsi="宋体"/>
        </w:rPr>
        <w:t>五</w:t>
      </w:r>
      <w:r>
        <w:rPr>
          <w:rFonts w:hAnsi="宋体" w:cs="Arial"/>
        </w:rPr>
        <w:t>)</w:t>
      </w:r>
      <w:r>
        <w:rPr>
          <w:rFonts w:hAnsi="宋体" w:cs="Times New Roman"/>
        </w:rPr>
        <w:tab/>
      </w:r>
      <w:r>
        <w:rPr>
          <w:rFonts w:hint="eastAsia" w:hAnsi="宋体"/>
        </w:rPr>
        <w:t>对于必须</w:t>
      </w:r>
      <w:r>
        <w:rPr>
          <w:rFonts w:hint="eastAsia" w:hAnsi="宋体"/>
          <w:color w:val="000000"/>
        </w:rPr>
        <w:t>发生</w:t>
      </w:r>
      <w:r>
        <w:rPr>
          <w:rFonts w:hint="eastAsia" w:hAnsi="宋体"/>
        </w:rPr>
        <w:t>之关联交易</w:t>
      </w:r>
      <w:r>
        <w:rPr>
          <w:rFonts w:hAnsi="宋体" w:cs="Arial"/>
        </w:rPr>
        <w:t xml:space="preserve">, </w:t>
      </w:r>
      <w:r>
        <w:rPr>
          <w:rFonts w:hint="eastAsia" w:hAnsi="宋体"/>
        </w:rPr>
        <w:t>须遵循“如实披露”原则</w:t>
      </w:r>
      <w:r>
        <w:rPr>
          <w:rFonts w:hAnsi="宋体" w:cs="Arial"/>
        </w:rPr>
        <w:t xml:space="preserve">; </w:t>
      </w:r>
    </w:p>
    <w:p w14:paraId="0379EC41">
      <w:pPr>
        <w:pStyle w:val="18"/>
        <w:spacing w:line="312" w:lineRule="auto"/>
        <w:ind w:left="2163" w:leftChars="607" w:right="120" w:rightChars="57" w:hanging="888" w:hangingChars="370"/>
        <w:jc w:val="both"/>
        <w:rPr>
          <w:rFonts w:hAnsi="宋体" w:cs="Times New Roman"/>
        </w:rPr>
      </w:pPr>
      <w:r>
        <w:rPr>
          <w:rFonts w:hAnsi="宋体" w:cs="Arial"/>
        </w:rPr>
        <w:t>(</w:t>
      </w:r>
      <w:r>
        <w:rPr>
          <w:rFonts w:hint="eastAsia" w:hAnsi="宋体"/>
        </w:rPr>
        <w:t>六</w:t>
      </w:r>
      <w:r>
        <w:rPr>
          <w:rFonts w:hAnsi="宋体" w:cs="Arial"/>
        </w:rPr>
        <w:t>)</w:t>
      </w:r>
      <w:r>
        <w:rPr>
          <w:rFonts w:hAnsi="宋体" w:cs="Times New Roman"/>
        </w:rPr>
        <w:tab/>
      </w:r>
      <w:r>
        <w:rPr>
          <w:rFonts w:hint="eastAsia" w:hAnsi="宋体"/>
        </w:rPr>
        <w:t>符合诚实</w:t>
      </w:r>
      <w:r>
        <w:rPr>
          <w:rFonts w:hint="eastAsia" w:hAnsi="宋体"/>
          <w:color w:val="000000"/>
        </w:rPr>
        <w:t>信用</w:t>
      </w:r>
      <w:r>
        <w:rPr>
          <w:rFonts w:hint="eastAsia" w:hAnsi="宋体"/>
        </w:rPr>
        <w:t>的原则。确定关联交易价格时</w:t>
      </w:r>
      <w:r>
        <w:rPr>
          <w:rFonts w:hAnsi="宋体" w:cs="Arial"/>
        </w:rPr>
        <w:t xml:space="preserve">, </w:t>
      </w:r>
      <w:r>
        <w:rPr>
          <w:rFonts w:hint="eastAsia" w:hAnsi="宋体"/>
        </w:rPr>
        <w:t>须遵循“公平、公正、公开以及等价有偿”的一般商业原则</w:t>
      </w:r>
      <w:r>
        <w:rPr>
          <w:rFonts w:hAnsi="宋体" w:cs="Arial"/>
        </w:rPr>
        <w:t xml:space="preserve">, </w:t>
      </w:r>
      <w:r>
        <w:rPr>
          <w:rFonts w:hint="eastAsia" w:hAnsi="宋体"/>
        </w:rPr>
        <w:t>并以协议方式予以规定。</w:t>
      </w:r>
    </w:p>
    <w:p w14:paraId="1F7344F8">
      <w:pPr>
        <w:pStyle w:val="17"/>
        <w:ind w:left="2127" w:hanging="852"/>
        <w:rPr>
          <w:rFonts w:hAnsi="宋体" w:cs="Arial"/>
        </w:rPr>
      </w:pPr>
      <w:r>
        <w:rPr>
          <w:rFonts w:hAnsi="宋体" w:cs="Arial"/>
        </w:rPr>
        <w:t>(</w:t>
      </w:r>
      <w:r>
        <w:rPr>
          <w:rFonts w:hint="eastAsia" w:hAnsi="宋体" w:cs="Arial"/>
        </w:rPr>
        <w:t>七</w:t>
      </w:r>
      <w:r>
        <w:rPr>
          <w:rFonts w:hAnsi="宋体" w:cs="Arial"/>
        </w:rPr>
        <w:t xml:space="preserve">)    </w:t>
      </w:r>
      <w:r>
        <w:rPr>
          <w:rFonts w:hint="eastAsia" w:hAnsi="宋体" w:cs="Arial"/>
        </w:rPr>
        <w:t>公司不得以任何形式与关联方进行资金拆借。</w:t>
      </w:r>
    </w:p>
    <w:p w14:paraId="5A80A43B">
      <w:pPr>
        <w:pStyle w:val="17"/>
        <w:spacing w:line="312" w:lineRule="auto"/>
        <w:jc w:val="both"/>
        <w:rPr>
          <w:rFonts w:hAnsi="宋体" w:cs="Times New Roman"/>
        </w:rPr>
      </w:pPr>
    </w:p>
    <w:p w14:paraId="409AC1D2">
      <w:pPr>
        <w:pStyle w:val="18"/>
        <w:numPr>
          <w:ilvl w:val="0"/>
          <w:numId w:val="1"/>
        </w:numPr>
        <w:tabs>
          <w:tab w:val="left" w:pos="1276"/>
          <w:tab w:val="clear" w:pos="1455"/>
        </w:tabs>
        <w:spacing w:line="312" w:lineRule="auto"/>
        <w:ind w:left="1276" w:right="120" w:hanging="1276"/>
        <w:jc w:val="both"/>
        <w:rPr>
          <w:rFonts w:hAnsi="宋体" w:cs="Times New Roman"/>
        </w:rPr>
      </w:pPr>
      <w:r>
        <w:rPr>
          <w:rFonts w:hint="eastAsia" w:hAnsi="宋体"/>
        </w:rPr>
        <w:t>公司在处理与关联方之间的关联交易时</w:t>
      </w:r>
      <w:r>
        <w:rPr>
          <w:rFonts w:hAnsi="宋体" w:cs="Arial"/>
        </w:rPr>
        <w:t xml:space="preserve">, </w:t>
      </w:r>
      <w:r>
        <w:rPr>
          <w:rFonts w:hint="eastAsia" w:hAnsi="宋体"/>
        </w:rPr>
        <w:t>不得损害全体股东特别是中小股东的合法权益。</w:t>
      </w:r>
    </w:p>
    <w:p w14:paraId="66081146">
      <w:pPr>
        <w:pStyle w:val="17"/>
        <w:spacing w:line="312" w:lineRule="auto"/>
        <w:ind w:left="480"/>
        <w:jc w:val="both"/>
        <w:rPr>
          <w:rFonts w:hAnsi="宋体" w:cs="Times New Roman"/>
        </w:rPr>
      </w:pPr>
    </w:p>
    <w:p w14:paraId="29C0F7AC">
      <w:pPr>
        <w:pStyle w:val="18"/>
        <w:numPr>
          <w:ilvl w:val="0"/>
          <w:numId w:val="1"/>
        </w:numPr>
        <w:tabs>
          <w:tab w:val="left" w:pos="1276"/>
          <w:tab w:val="clear" w:pos="1455"/>
        </w:tabs>
        <w:spacing w:line="312" w:lineRule="auto"/>
        <w:ind w:left="1276" w:right="120" w:hanging="1276"/>
        <w:jc w:val="both"/>
        <w:rPr>
          <w:rFonts w:hAnsi="宋体"/>
        </w:rPr>
      </w:pPr>
      <w:r>
        <w:rPr>
          <w:rFonts w:hint="eastAsia" w:hAnsi="宋体"/>
        </w:rPr>
        <w:t>公司关联人包括关联法人、关联自然人和潜在关联人。</w:t>
      </w:r>
    </w:p>
    <w:p w14:paraId="5BF84269">
      <w:pPr>
        <w:pStyle w:val="17"/>
        <w:spacing w:line="312" w:lineRule="auto"/>
        <w:jc w:val="both"/>
        <w:rPr>
          <w:rFonts w:hAnsi="宋体"/>
          <w:color w:val="auto"/>
        </w:rPr>
      </w:pPr>
    </w:p>
    <w:p w14:paraId="60D1D8C9">
      <w:pPr>
        <w:pStyle w:val="18"/>
        <w:spacing w:line="312" w:lineRule="auto"/>
        <w:ind w:right="120" w:firstLine="1276"/>
        <w:jc w:val="both"/>
        <w:rPr>
          <w:rFonts w:hAnsi="宋体"/>
        </w:rPr>
      </w:pPr>
      <w:r>
        <w:rPr>
          <w:rFonts w:hint="eastAsia" w:hAnsi="宋体"/>
        </w:rPr>
        <w:t>具有以下情形之一的法人</w:t>
      </w:r>
      <w:r>
        <w:rPr>
          <w:rFonts w:hAnsi="宋体"/>
        </w:rPr>
        <w:t xml:space="preserve">, </w:t>
      </w:r>
      <w:r>
        <w:rPr>
          <w:rFonts w:hint="eastAsia" w:hAnsi="宋体"/>
        </w:rPr>
        <w:t>为公司的关联法人</w:t>
      </w:r>
      <w:r>
        <w:rPr>
          <w:rFonts w:hAnsi="宋体"/>
        </w:rPr>
        <w:t xml:space="preserve">: </w:t>
      </w:r>
    </w:p>
    <w:p w14:paraId="0E9E460F">
      <w:pPr>
        <w:pStyle w:val="18"/>
        <w:spacing w:line="312" w:lineRule="auto"/>
        <w:ind w:left="2163" w:leftChars="607" w:right="120" w:rightChars="57" w:hanging="888" w:hangingChars="370"/>
        <w:jc w:val="both"/>
        <w:rPr>
          <w:rFonts w:hAnsi="宋体" w:cs="Arial"/>
        </w:rPr>
      </w:pPr>
      <w:r>
        <w:rPr>
          <w:rFonts w:hAnsi="宋体" w:cs="Arial"/>
        </w:rPr>
        <w:t>(</w:t>
      </w:r>
      <w:r>
        <w:rPr>
          <w:rFonts w:hint="eastAsia" w:hAnsi="宋体"/>
        </w:rPr>
        <w:t>一</w:t>
      </w:r>
      <w:r>
        <w:rPr>
          <w:rFonts w:hAnsi="宋体" w:cs="Arial"/>
        </w:rPr>
        <w:t>)</w:t>
      </w:r>
      <w:r>
        <w:rPr>
          <w:rFonts w:hAnsi="宋体" w:cs="Times New Roman"/>
        </w:rPr>
        <w:tab/>
      </w:r>
      <w:r>
        <w:rPr>
          <w:rFonts w:hint="eastAsia" w:hAnsi="宋体"/>
        </w:rPr>
        <w:t>直接或间接地控制公司的法人</w:t>
      </w:r>
      <w:r>
        <w:rPr>
          <w:rFonts w:hAnsi="宋体" w:cs="Arial"/>
        </w:rPr>
        <w:t xml:space="preserve">; </w:t>
      </w:r>
    </w:p>
    <w:p w14:paraId="2B63C209">
      <w:pPr>
        <w:pStyle w:val="18"/>
        <w:spacing w:line="312" w:lineRule="auto"/>
        <w:ind w:left="2163" w:leftChars="607" w:right="120" w:rightChars="57" w:hanging="888" w:hangingChars="370"/>
        <w:jc w:val="both"/>
        <w:rPr>
          <w:rFonts w:hAnsi="宋体" w:cs="Arial"/>
        </w:rPr>
      </w:pPr>
      <w:r>
        <w:rPr>
          <w:rFonts w:hAnsi="宋体" w:cs="Arial"/>
        </w:rPr>
        <w:t>(</w:t>
      </w:r>
      <w:r>
        <w:rPr>
          <w:rFonts w:hint="eastAsia" w:hAnsi="宋体"/>
        </w:rPr>
        <w:t>二</w:t>
      </w:r>
      <w:r>
        <w:rPr>
          <w:rFonts w:hAnsi="宋体" w:cs="Arial"/>
        </w:rPr>
        <w:t>)</w:t>
      </w:r>
      <w:r>
        <w:rPr>
          <w:rFonts w:hAnsi="宋体" w:cs="Times New Roman"/>
        </w:rPr>
        <w:tab/>
      </w:r>
      <w:r>
        <w:rPr>
          <w:rFonts w:hint="eastAsia" w:hAnsi="宋体"/>
        </w:rPr>
        <w:t>由前项所述法人直接或者间接控制的除公司及其控股子公司以外的法人</w:t>
      </w:r>
      <w:r>
        <w:rPr>
          <w:rFonts w:hAnsi="宋体" w:cs="Arial"/>
        </w:rPr>
        <w:t xml:space="preserve">; </w:t>
      </w:r>
    </w:p>
    <w:p w14:paraId="391981E0">
      <w:pPr>
        <w:pStyle w:val="18"/>
        <w:spacing w:line="312" w:lineRule="auto"/>
        <w:ind w:left="2163" w:leftChars="607" w:right="120" w:rightChars="57" w:hanging="888" w:hangingChars="370"/>
        <w:jc w:val="both"/>
        <w:rPr>
          <w:rFonts w:hAnsi="宋体" w:cs="Arial"/>
        </w:rPr>
      </w:pPr>
      <w:r>
        <w:rPr>
          <w:rFonts w:hAnsi="宋体" w:cs="Arial"/>
        </w:rPr>
        <w:t>(</w:t>
      </w:r>
      <w:r>
        <w:rPr>
          <w:rFonts w:hint="eastAsia" w:hAnsi="宋体"/>
        </w:rPr>
        <w:t>三</w:t>
      </w:r>
      <w:r>
        <w:rPr>
          <w:rFonts w:hAnsi="宋体" w:cs="Arial"/>
        </w:rPr>
        <w:t>)</w:t>
      </w:r>
      <w:r>
        <w:rPr>
          <w:rFonts w:hAnsi="宋体" w:cs="Times New Roman"/>
        </w:rPr>
        <w:tab/>
      </w:r>
      <w:r>
        <w:rPr>
          <w:rFonts w:hint="eastAsia" w:hAnsi="宋体"/>
        </w:rPr>
        <w:t>关联自然人直接或间接控制的、或者担任董事、高级管理人员的</w:t>
      </w:r>
      <w:r>
        <w:rPr>
          <w:rFonts w:hAnsi="宋体" w:cs="Arial"/>
        </w:rPr>
        <w:t xml:space="preserve">, </w:t>
      </w:r>
      <w:r>
        <w:rPr>
          <w:rFonts w:hint="eastAsia" w:hAnsi="宋体"/>
        </w:rPr>
        <w:t>除公司及其控股子公司以外的法人</w:t>
      </w:r>
      <w:r>
        <w:rPr>
          <w:rFonts w:hAnsi="宋体" w:cs="Arial"/>
        </w:rPr>
        <w:t xml:space="preserve">; </w:t>
      </w:r>
    </w:p>
    <w:p w14:paraId="22756CC7">
      <w:pPr>
        <w:pStyle w:val="18"/>
        <w:spacing w:line="312" w:lineRule="auto"/>
        <w:ind w:left="2163" w:leftChars="607" w:right="120" w:rightChars="57" w:hanging="888" w:hangingChars="370"/>
        <w:jc w:val="both"/>
        <w:rPr>
          <w:rFonts w:hAnsi="宋体" w:cs="Arial"/>
        </w:rPr>
      </w:pPr>
      <w:r>
        <w:rPr>
          <w:rFonts w:hAnsi="宋体" w:cs="Arial"/>
        </w:rPr>
        <w:t>(</w:t>
      </w:r>
      <w:r>
        <w:rPr>
          <w:rFonts w:hint="eastAsia" w:hAnsi="宋体"/>
        </w:rPr>
        <w:t>四</w:t>
      </w:r>
      <w:r>
        <w:rPr>
          <w:rFonts w:hAnsi="宋体" w:cs="Arial"/>
        </w:rPr>
        <w:t>)</w:t>
      </w:r>
      <w:r>
        <w:rPr>
          <w:rFonts w:hAnsi="宋体" w:cs="Times New Roman"/>
        </w:rPr>
        <w:tab/>
      </w:r>
      <w:r>
        <w:rPr>
          <w:rFonts w:hint="eastAsia" w:hAnsi="宋体"/>
        </w:rPr>
        <w:t>持有公司</w:t>
      </w:r>
      <w:r>
        <w:rPr>
          <w:rFonts w:hAnsi="宋体" w:cs="Arial"/>
        </w:rPr>
        <w:t>5%</w:t>
      </w:r>
      <w:r>
        <w:rPr>
          <w:rFonts w:hint="eastAsia" w:hAnsi="宋体"/>
        </w:rPr>
        <w:t>以上股份的法人及其一致行动人</w:t>
      </w:r>
      <w:r>
        <w:rPr>
          <w:rFonts w:hAnsi="宋体" w:cs="Arial"/>
        </w:rPr>
        <w:t xml:space="preserve">; </w:t>
      </w:r>
    </w:p>
    <w:p w14:paraId="301F5D70">
      <w:pPr>
        <w:pStyle w:val="18"/>
        <w:spacing w:line="312" w:lineRule="auto"/>
        <w:ind w:left="2163" w:leftChars="607" w:right="120" w:rightChars="57" w:hanging="888" w:hangingChars="370"/>
        <w:jc w:val="both"/>
        <w:rPr>
          <w:rFonts w:hAnsi="宋体" w:cs="Arial"/>
        </w:rPr>
      </w:pPr>
      <w:r>
        <w:rPr>
          <w:rFonts w:hAnsi="宋体" w:cs="Arial"/>
        </w:rPr>
        <w:t>(</w:t>
      </w:r>
      <w:r>
        <w:rPr>
          <w:rFonts w:hint="eastAsia" w:hAnsi="宋体"/>
        </w:rPr>
        <w:t>五</w:t>
      </w:r>
      <w:r>
        <w:rPr>
          <w:rFonts w:hAnsi="宋体" w:cs="Arial"/>
        </w:rPr>
        <w:t>)</w:t>
      </w:r>
      <w:r>
        <w:rPr>
          <w:rFonts w:hAnsi="宋体" w:cs="Times New Roman"/>
        </w:rPr>
        <w:tab/>
      </w:r>
      <w:r>
        <w:rPr>
          <w:rFonts w:hint="eastAsia" w:hAnsi="宋体"/>
        </w:rPr>
        <w:t>在过去</w:t>
      </w:r>
      <w:r>
        <w:rPr>
          <w:rFonts w:hAnsi="宋体" w:cs="Arial"/>
        </w:rPr>
        <w:t xml:space="preserve">12 </w:t>
      </w:r>
      <w:r>
        <w:rPr>
          <w:rFonts w:hint="eastAsia" w:hAnsi="宋体"/>
        </w:rPr>
        <w:t>个月内或者根据相关协议安排在未来</w:t>
      </w:r>
      <w:r>
        <w:rPr>
          <w:rFonts w:hAnsi="宋体" w:cs="Arial"/>
        </w:rPr>
        <w:t xml:space="preserve">12 </w:t>
      </w:r>
      <w:r>
        <w:rPr>
          <w:rFonts w:hint="eastAsia" w:hAnsi="宋体"/>
        </w:rPr>
        <w:t>月内</w:t>
      </w:r>
      <w:r>
        <w:rPr>
          <w:rFonts w:hAnsi="宋体" w:cs="Arial"/>
        </w:rPr>
        <w:t xml:space="preserve">, </w:t>
      </w:r>
      <w:r>
        <w:rPr>
          <w:rFonts w:hint="eastAsia" w:hAnsi="宋体"/>
        </w:rPr>
        <w:t>存在上述情形之一的</w:t>
      </w:r>
      <w:r>
        <w:rPr>
          <w:rFonts w:hAnsi="宋体" w:cs="Arial"/>
        </w:rPr>
        <w:t xml:space="preserve">; </w:t>
      </w:r>
    </w:p>
    <w:p w14:paraId="463199D4">
      <w:pPr>
        <w:pStyle w:val="18"/>
        <w:spacing w:line="312" w:lineRule="auto"/>
        <w:ind w:left="2163" w:leftChars="607" w:right="120" w:rightChars="57" w:hanging="888" w:hangingChars="370"/>
        <w:jc w:val="both"/>
        <w:rPr>
          <w:rFonts w:hAnsi="宋体" w:cs="Arial"/>
        </w:rPr>
      </w:pPr>
      <w:r>
        <w:rPr>
          <w:rFonts w:hAnsi="宋体" w:cs="Arial"/>
        </w:rPr>
        <w:t>(</w:t>
      </w:r>
      <w:r>
        <w:rPr>
          <w:rFonts w:hint="eastAsia" w:hAnsi="宋体"/>
        </w:rPr>
        <w:t>六</w:t>
      </w:r>
      <w:r>
        <w:rPr>
          <w:rFonts w:hAnsi="宋体" w:cs="Arial"/>
        </w:rPr>
        <w:t>)</w:t>
      </w:r>
      <w:r>
        <w:rPr>
          <w:rFonts w:hAnsi="宋体" w:cs="Times New Roman"/>
        </w:rPr>
        <w:tab/>
      </w:r>
      <w:r>
        <w:rPr>
          <w:rFonts w:hint="eastAsia" w:hAnsi="宋体"/>
        </w:rPr>
        <w:t>中国证监会、证券交易所或公司根据实质重于形式的原则认定的其他与公司有特殊关系</w:t>
      </w:r>
      <w:r>
        <w:rPr>
          <w:rFonts w:hAnsi="宋体" w:cs="Arial"/>
        </w:rPr>
        <w:t xml:space="preserve">, </w:t>
      </w:r>
      <w:r>
        <w:rPr>
          <w:rFonts w:hint="eastAsia" w:hAnsi="宋体"/>
        </w:rPr>
        <w:t>可能或者已经造成公司对其利益倾斜的法人。</w:t>
      </w:r>
    </w:p>
    <w:p w14:paraId="5EA240F8">
      <w:pPr>
        <w:pStyle w:val="17"/>
        <w:spacing w:line="312" w:lineRule="auto"/>
        <w:jc w:val="both"/>
        <w:rPr>
          <w:rFonts w:hAnsi="宋体" w:cs="Times New Roman"/>
        </w:rPr>
      </w:pPr>
    </w:p>
    <w:p w14:paraId="23490BDD">
      <w:pPr>
        <w:pStyle w:val="18"/>
        <w:spacing w:line="312" w:lineRule="auto"/>
        <w:ind w:right="120" w:firstLine="1276"/>
        <w:jc w:val="both"/>
        <w:rPr>
          <w:rFonts w:hAnsi="宋体"/>
          <w:color w:val="000000"/>
        </w:rPr>
      </w:pPr>
      <w:r>
        <w:rPr>
          <w:rFonts w:hint="eastAsia" w:hAnsi="宋体"/>
          <w:color w:val="000000"/>
        </w:rPr>
        <w:t>公司的关联自然人是指</w:t>
      </w:r>
      <w:r>
        <w:rPr>
          <w:rFonts w:hAnsi="宋体"/>
          <w:color w:val="000000"/>
        </w:rPr>
        <w:t xml:space="preserve">: </w:t>
      </w:r>
    </w:p>
    <w:p w14:paraId="7A1EAEB4">
      <w:pPr>
        <w:pStyle w:val="18"/>
        <w:spacing w:line="312" w:lineRule="auto"/>
        <w:ind w:left="2163" w:leftChars="607" w:right="120" w:rightChars="57" w:hanging="888" w:hangingChars="370"/>
        <w:jc w:val="both"/>
        <w:rPr>
          <w:rFonts w:hAnsi="宋体"/>
          <w:color w:val="000000"/>
        </w:rPr>
      </w:pPr>
      <w:r>
        <w:rPr>
          <w:rFonts w:hAnsi="宋体"/>
          <w:color w:val="000000"/>
        </w:rPr>
        <w:t>(</w:t>
      </w:r>
      <w:r>
        <w:rPr>
          <w:rFonts w:hint="eastAsia" w:hAnsi="宋体"/>
          <w:color w:val="000000"/>
        </w:rPr>
        <w:t>一</w:t>
      </w:r>
      <w:r>
        <w:rPr>
          <w:rFonts w:hAnsi="宋体"/>
          <w:color w:val="000000"/>
        </w:rPr>
        <w:t>)</w:t>
      </w:r>
      <w:r>
        <w:rPr>
          <w:rFonts w:hAnsi="宋体"/>
          <w:color w:val="000000"/>
        </w:rPr>
        <w:tab/>
      </w:r>
      <w:r>
        <w:rPr>
          <w:rFonts w:hint="eastAsia" w:hAnsi="宋体"/>
          <w:color w:val="000000"/>
        </w:rPr>
        <w:t>直接或间接持有公司</w:t>
      </w:r>
      <w:r>
        <w:rPr>
          <w:rFonts w:hAnsi="宋体"/>
          <w:color w:val="000000"/>
        </w:rPr>
        <w:t>5</w:t>
      </w:r>
      <w:r>
        <w:rPr>
          <w:rFonts w:hint="eastAsia" w:hAnsi="宋体"/>
          <w:color w:val="000000"/>
        </w:rPr>
        <w:t>％以上股份的自然人股东</w:t>
      </w:r>
      <w:r>
        <w:rPr>
          <w:rFonts w:hAnsi="宋体"/>
          <w:color w:val="000000"/>
        </w:rPr>
        <w:t xml:space="preserve">; </w:t>
      </w:r>
    </w:p>
    <w:p w14:paraId="4CF814FD">
      <w:pPr>
        <w:pStyle w:val="18"/>
        <w:spacing w:line="312" w:lineRule="auto"/>
        <w:ind w:left="2163" w:leftChars="607" w:right="120" w:rightChars="57" w:hanging="888" w:hangingChars="370"/>
        <w:jc w:val="both"/>
        <w:rPr>
          <w:rFonts w:hAnsi="宋体"/>
          <w:color w:val="000000"/>
        </w:rPr>
      </w:pPr>
      <w:r>
        <w:rPr>
          <w:rFonts w:hAnsi="宋体"/>
          <w:color w:val="000000"/>
        </w:rPr>
        <w:t>(</w:t>
      </w:r>
      <w:r>
        <w:rPr>
          <w:rFonts w:hint="eastAsia" w:hAnsi="宋体"/>
          <w:color w:val="000000"/>
        </w:rPr>
        <w:t>二</w:t>
      </w:r>
      <w:r>
        <w:rPr>
          <w:rFonts w:hAnsi="宋体"/>
          <w:color w:val="000000"/>
        </w:rPr>
        <w:t>)</w:t>
      </w:r>
      <w:r>
        <w:rPr>
          <w:rFonts w:hAnsi="宋体"/>
          <w:color w:val="000000"/>
        </w:rPr>
        <w:tab/>
      </w:r>
      <w:r>
        <w:rPr>
          <w:rFonts w:hint="eastAsia" w:hAnsi="宋体"/>
          <w:color w:val="000000"/>
        </w:rPr>
        <w:t>公司的董事、高级管理人员</w:t>
      </w:r>
      <w:r>
        <w:rPr>
          <w:rFonts w:hAnsi="宋体"/>
          <w:color w:val="000000"/>
        </w:rPr>
        <w:t xml:space="preserve">; </w:t>
      </w:r>
    </w:p>
    <w:p w14:paraId="1450F741">
      <w:pPr>
        <w:pStyle w:val="18"/>
        <w:spacing w:line="312" w:lineRule="auto"/>
        <w:ind w:left="2163" w:leftChars="607" w:right="120" w:rightChars="57" w:hanging="888" w:hangingChars="370"/>
        <w:jc w:val="both"/>
        <w:rPr>
          <w:rFonts w:hAnsi="宋体"/>
          <w:color w:val="000000"/>
        </w:rPr>
      </w:pPr>
      <w:r>
        <w:rPr>
          <w:rFonts w:hAnsi="宋体"/>
          <w:color w:val="000000"/>
        </w:rPr>
        <w:t>(</w:t>
      </w:r>
      <w:r>
        <w:rPr>
          <w:rFonts w:hint="eastAsia" w:hAnsi="宋体"/>
          <w:color w:val="000000"/>
        </w:rPr>
        <w:t>三</w:t>
      </w:r>
      <w:r>
        <w:rPr>
          <w:rFonts w:hAnsi="宋体"/>
          <w:color w:val="000000"/>
        </w:rPr>
        <w:t>)</w:t>
      </w:r>
      <w:r>
        <w:rPr>
          <w:rFonts w:hAnsi="宋体"/>
          <w:color w:val="000000"/>
        </w:rPr>
        <w:tab/>
      </w:r>
      <w:r>
        <w:rPr>
          <w:rFonts w:hint="eastAsia" w:hAnsi="宋体"/>
          <w:color w:val="000000"/>
        </w:rPr>
        <w:t>直接或者间接地控制公司的法人的董事、监事及高级管理人员</w:t>
      </w:r>
      <w:r>
        <w:rPr>
          <w:rFonts w:hAnsi="宋体"/>
          <w:color w:val="000000"/>
        </w:rPr>
        <w:t xml:space="preserve">; </w:t>
      </w:r>
    </w:p>
    <w:p w14:paraId="0C391A65">
      <w:pPr>
        <w:pStyle w:val="18"/>
        <w:spacing w:line="312" w:lineRule="auto"/>
        <w:ind w:left="2163" w:leftChars="607" w:right="120" w:rightChars="57" w:hanging="888" w:hangingChars="370"/>
        <w:jc w:val="both"/>
        <w:rPr>
          <w:rFonts w:hAnsi="宋体"/>
          <w:color w:val="000000"/>
        </w:rPr>
      </w:pPr>
      <w:r>
        <w:rPr>
          <w:rFonts w:hAnsi="宋体"/>
          <w:color w:val="000000"/>
        </w:rPr>
        <w:t>(</w:t>
      </w:r>
      <w:r>
        <w:rPr>
          <w:rFonts w:hint="eastAsia" w:hAnsi="宋体"/>
          <w:color w:val="000000"/>
        </w:rPr>
        <w:t>四</w:t>
      </w:r>
      <w:r>
        <w:rPr>
          <w:rFonts w:hAnsi="宋体"/>
          <w:color w:val="000000"/>
        </w:rPr>
        <w:t>)</w:t>
      </w:r>
      <w:r>
        <w:rPr>
          <w:rFonts w:hAnsi="宋体"/>
          <w:color w:val="000000"/>
        </w:rPr>
        <w:tab/>
      </w:r>
      <w:r>
        <w:rPr>
          <w:rFonts w:hint="eastAsia" w:hAnsi="宋体"/>
          <w:color w:val="000000"/>
        </w:rPr>
        <w:t>本款第</w:t>
      </w:r>
      <w:r>
        <w:rPr>
          <w:rFonts w:hAnsi="宋体"/>
          <w:color w:val="000000"/>
        </w:rPr>
        <w:t>(</w:t>
      </w:r>
      <w:r>
        <w:rPr>
          <w:rFonts w:hint="eastAsia" w:hAnsi="宋体"/>
          <w:color w:val="000000"/>
        </w:rPr>
        <w:t>一</w:t>
      </w:r>
      <w:r>
        <w:rPr>
          <w:rFonts w:hAnsi="宋体"/>
          <w:color w:val="000000"/>
        </w:rPr>
        <w:t>)</w:t>
      </w:r>
      <w:r>
        <w:rPr>
          <w:rFonts w:hint="eastAsia" w:hAnsi="宋体"/>
          <w:color w:val="000000"/>
        </w:rPr>
        <w:t>、</w:t>
      </w:r>
      <w:r>
        <w:rPr>
          <w:rFonts w:hAnsi="宋体"/>
          <w:color w:val="000000"/>
        </w:rPr>
        <w:t>(</w:t>
      </w:r>
      <w:r>
        <w:rPr>
          <w:rFonts w:hint="eastAsia" w:hAnsi="宋体"/>
          <w:color w:val="000000"/>
        </w:rPr>
        <w:t>二</w:t>
      </w:r>
      <w:r>
        <w:rPr>
          <w:rFonts w:hAnsi="宋体"/>
          <w:color w:val="000000"/>
        </w:rPr>
        <w:t>)</w:t>
      </w:r>
      <w:r>
        <w:rPr>
          <w:rFonts w:hint="eastAsia" w:hAnsi="宋体"/>
          <w:color w:val="000000"/>
        </w:rPr>
        <w:t>项所述人士的关系密切的家庭成员</w:t>
      </w:r>
      <w:r>
        <w:rPr>
          <w:rFonts w:hAnsi="宋体"/>
          <w:color w:val="000000"/>
        </w:rPr>
        <w:t xml:space="preserve">, </w:t>
      </w:r>
      <w:r>
        <w:rPr>
          <w:rFonts w:hint="eastAsia" w:hAnsi="宋体"/>
          <w:color w:val="000000"/>
        </w:rPr>
        <w:t>包括</w:t>
      </w:r>
      <w:r>
        <w:rPr>
          <w:rFonts w:hAnsi="宋体"/>
          <w:color w:val="000000"/>
        </w:rPr>
        <w:t xml:space="preserve">: </w:t>
      </w:r>
      <w:r>
        <w:rPr>
          <w:rFonts w:hint="eastAsia" w:hAnsi="宋体"/>
          <w:color w:val="000000"/>
        </w:rPr>
        <w:t>配偶、父母及配偶的父母、兄弟姐妹及其配偶、年满</w:t>
      </w:r>
      <w:r>
        <w:rPr>
          <w:rFonts w:hAnsi="宋体"/>
          <w:color w:val="000000"/>
        </w:rPr>
        <w:t xml:space="preserve">18 </w:t>
      </w:r>
      <w:r>
        <w:rPr>
          <w:rFonts w:hint="eastAsia" w:hAnsi="宋体"/>
          <w:color w:val="000000"/>
        </w:rPr>
        <w:t>周岁的子女及其配偶、配偶的兄弟姐妹和子女配偶的父母</w:t>
      </w:r>
      <w:r>
        <w:rPr>
          <w:rFonts w:hAnsi="宋体"/>
          <w:color w:val="000000"/>
        </w:rPr>
        <w:t xml:space="preserve">; </w:t>
      </w:r>
    </w:p>
    <w:p w14:paraId="351F4C06">
      <w:pPr>
        <w:pStyle w:val="18"/>
        <w:spacing w:line="324" w:lineRule="auto"/>
        <w:ind w:left="2163" w:leftChars="607" w:right="120" w:rightChars="57" w:hanging="888" w:hangingChars="370"/>
        <w:jc w:val="both"/>
        <w:rPr>
          <w:rFonts w:hAnsi="宋体"/>
          <w:color w:val="000000"/>
        </w:rPr>
      </w:pPr>
      <w:r>
        <w:rPr>
          <w:rFonts w:hAnsi="宋体"/>
          <w:color w:val="000000"/>
        </w:rPr>
        <w:t>(</w:t>
      </w:r>
      <w:r>
        <w:rPr>
          <w:rFonts w:hint="eastAsia" w:hAnsi="宋体"/>
          <w:color w:val="000000"/>
        </w:rPr>
        <w:t>五</w:t>
      </w:r>
      <w:r>
        <w:rPr>
          <w:rFonts w:hAnsi="宋体"/>
          <w:color w:val="000000"/>
        </w:rPr>
        <w:t>)</w:t>
      </w:r>
      <w:r>
        <w:rPr>
          <w:rFonts w:hAnsi="宋体"/>
          <w:color w:val="000000"/>
        </w:rPr>
        <w:tab/>
      </w:r>
      <w:r>
        <w:rPr>
          <w:rFonts w:hint="eastAsia" w:hAnsi="宋体"/>
          <w:color w:val="000000"/>
        </w:rPr>
        <w:t>在过去</w:t>
      </w:r>
      <w:r>
        <w:rPr>
          <w:rFonts w:hAnsi="宋体"/>
          <w:color w:val="000000"/>
        </w:rPr>
        <w:t xml:space="preserve">12 </w:t>
      </w:r>
      <w:r>
        <w:rPr>
          <w:rFonts w:hint="eastAsia" w:hAnsi="宋体"/>
          <w:color w:val="000000"/>
        </w:rPr>
        <w:t>个月内或者根据相关协议安排在未来</w:t>
      </w:r>
      <w:r>
        <w:rPr>
          <w:rFonts w:hAnsi="宋体"/>
          <w:color w:val="000000"/>
        </w:rPr>
        <w:t xml:space="preserve">12 </w:t>
      </w:r>
      <w:r>
        <w:rPr>
          <w:rFonts w:hint="eastAsia" w:hAnsi="宋体"/>
          <w:color w:val="000000"/>
        </w:rPr>
        <w:t>个月内</w:t>
      </w:r>
      <w:r>
        <w:rPr>
          <w:rFonts w:hAnsi="宋体"/>
          <w:color w:val="000000"/>
        </w:rPr>
        <w:t xml:space="preserve">, </w:t>
      </w:r>
      <w:r>
        <w:rPr>
          <w:rFonts w:hint="eastAsia" w:hAnsi="宋体"/>
          <w:color w:val="000000"/>
        </w:rPr>
        <w:t>存在上述情形之一的</w:t>
      </w:r>
      <w:r>
        <w:rPr>
          <w:rFonts w:hAnsi="宋体"/>
          <w:color w:val="000000"/>
        </w:rPr>
        <w:t xml:space="preserve">; </w:t>
      </w:r>
    </w:p>
    <w:p w14:paraId="5D56D336">
      <w:pPr>
        <w:pStyle w:val="18"/>
        <w:spacing w:line="324" w:lineRule="auto"/>
        <w:ind w:left="2163" w:leftChars="607" w:right="120" w:rightChars="57" w:hanging="888" w:hangingChars="370"/>
        <w:jc w:val="both"/>
        <w:rPr>
          <w:rFonts w:hAnsi="宋体"/>
          <w:color w:val="000000"/>
        </w:rPr>
      </w:pPr>
      <w:r>
        <w:rPr>
          <w:rFonts w:hAnsi="宋体"/>
          <w:color w:val="000000"/>
        </w:rPr>
        <w:t>(</w:t>
      </w:r>
      <w:r>
        <w:rPr>
          <w:rFonts w:hint="eastAsia" w:hAnsi="宋体"/>
          <w:color w:val="000000"/>
        </w:rPr>
        <w:t>六</w:t>
      </w:r>
      <w:r>
        <w:rPr>
          <w:rFonts w:hAnsi="宋体"/>
          <w:color w:val="000000"/>
        </w:rPr>
        <w:t>)</w:t>
      </w:r>
      <w:r>
        <w:rPr>
          <w:rFonts w:hAnsi="宋体"/>
          <w:color w:val="000000"/>
        </w:rPr>
        <w:tab/>
      </w:r>
      <w:r>
        <w:rPr>
          <w:rFonts w:hint="eastAsia" w:hAnsi="宋体"/>
          <w:color w:val="000000"/>
        </w:rPr>
        <w:t>中国证监会、证券交易所或公司根据实质重于形式的原则认定的其他与公司有特殊关系</w:t>
      </w:r>
      <w:r>
        <w:rPr>
          <w:rFonts w:hAnsi="宋体"/>
          <w:color w:val="000000"/>
        </w:rPr>
        <w:t xml:space="preserve">, </w:t>
      </w:r>
      <w:r>
        <w:rPr>
          <w:rFonts w:hint="eastAsia" w:hAnsi="宋体"/>
          <w:color w:val="000000"/>
        </w:rPr>
        <w:t>可能或者已经造成公司对其利益倾斜的自然人。</w:t>
      </w:r>
    </w:p>
    <w:p w14:paraId="21A5506A">
      <w:pPr>
        <w:pStyle w:val="17"/>
        <w:spacing w:line="324" w:lineRule="auto"/>
        <w:jc w:val="both"/>
        <w:rPr>
          <w:rFonts w:hAnsi="宋体"/>
        </w:rPr>
      </w:pPr>
    </w:p>
    <w:p w14:paraId="7DF31B91">
      <w:pPr>
        <w:pStyle w:val="18"/>
        <w:spacing w:line="324" w:lineRule="auto"/>
        <w:ind w:left="1275" w:leftChars="607" w:right="120"/>
        <w:jc w:val="both"/>
        <w:rPr>
          <w:rFonts w:hAnsi="宋体"/>
          <w:color w:val="000000"/>
        </w:rPr>
      </w:pPr>
      <w:r>
        <w:rPr>
          <w:rFonts w:hint="eastAsia" w:hAnsi="宋体"/>
          <w:color w:val="000000"/>
        </w:rPr>
        <w:t>因与本公司或关联人签署协议或作出安排</w:t>
      </w:r>
      <w:r>
        <w:rPr>
          <w:rFonts w:hAnsi="宋体"/>
          <w:color w:val="000000"/>
        </w:rPr>
        <w:t xml:space="preserve">, </w:t>
      </w:r>
      <w:r>
        <w:rPr>
          <w:rFonts w:hint="eastAsia" w:hAnsi="宋体"/>
          <w:color w:val="000000"/>
        </w:rPr>
        <w:t>在协议或安排生效后符合前两款规定的</w:t>
      </w:r>
      <w:r>
        <w:rPr>
          <w:rFonts w:hAnsi="宋体"/>
          <w:color w:val="000000"/>
        </w:rPr>
        <w:t xml:space="preserve">, </w:t>
      </w:r>
      <w:r>
        <w:rPr>
          <w:rFonts w:hint="eastAsia" w:hAnsi="宋体"/>
          <w:color w:val="000000"/>
        </w:rPr>
        <w:t>为本公司的潜在关联人。</w:t>
      </w:r>
    </w:p>
    <w:p w14:paraId="5E93A3E1">
      <w:pPr>
        <w:pStyle w:val="17"/>
        <w:spacing w:line="324" w:lineRule="auto"/>
        <w:ind w:firstLine="484" w:firstLineChars="202"/>
        <w:rPr>
          <w:rFonts w:hAnsi="宋体" w:cs="Arial"/>
        </w:rPr>
      </w:pPr>
    </w:p>
    <w:p w14:paraId="209D0DE6">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olor w:val="000000"/>
        </w:rPr>
        <w:t>关联关系主要是指在财务和经营决策中</w:t>
      </w:r>
      <w:r>
        <w:rPr>
          <w:rFonts w:hAnsi="宋体" w:cs="Arial"/>
          <w:color w:val="000000"/>
        </w:rPr>
        <w:t xml:space="preserve">, </w:t>
      </w:r>
      <w:r>
        <w:rPr>
          <w:rFonts w:hint="eastAsia" w:hAnsi="宋体"/>
          <w:color w:val="000000"/>
        </w:rPr>
        <w:t>有能力对公司直接或间接控制或施加重大影响的方式或途径</w:t>
      </w:r>
      <w:r>
        <w:rPr>
          <w:rFonts w:hAnsi="宋体" w:cs="Arial"/>
          <w:color w:val="000000"/>
        </w:rPr>
        <w:t xml:space="preserve">, </w:t>
      </w:r>
      <w:r>
        <w:rPr>
          <w:rFonts w:hint="eastAsia" w:hAnsi="宋体"/>
          <w:color w:val="000000"/>
        </w:rPr>
        <w:t>主要包括关联人与公司之间存在的股权关系、人事关系、管理关系及商业利益关系。</w:t>
      </w:r>
    </w:p>
    <w:p w14:paraId="253C59DE">
      <w:pPr>
        <w:pStyle w:val="18"/>
        <w:spacing w:line="324" w:lineRule="auto"/>
        <w:ind w:left="1275" w:leftChars="607" w:right="120"/>
        <w:jc w:val="both"/>
        <w:rPr>
          <w:rFonts w:hAnsi="宋体" w:cs="Times New Roman"/>
          <w:color w:val="000000"/>
        </w:rPr>
      </w:pPr>
      <w:r>
        <w:rPr>
          <w:rFonts w:hint="eastAsia" w:hAnsi="宋体"/>
          <w:color w:val="000000"/>
        </w:rPr>
        <w:t>关联关系应从关联人对公司进行控制或影响的具体方式、途径及程度等方面进行实质判断。</w:t>
      </w:r>
    </w:p>
    <w:p w14:paraId="4B0B52D6">
      <w:pPr>
        <w:pStyle w:val="17"/>
        <w:spacing w:line="324" w:lineRule="auto"/>
        <w:jc w:val="both"/>
        <w:rPr>
          <w:rFonts w:hAnsi="宋体" w:cs="Times New Roman"/>
        </w:rPr>
      </w:pPr>
    </w:p>
    <w:p w14:paraId="0A25F83D">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olor w:val="000000"/>
        </w:rPr>
        <w:t>公司关联交易是指公司及其控股子公司与关联人之间发生的转移资源或义务的事项。包括但不限于下列事项</w:t>
      </w:r>
      <w:r>
        <w:rPr>
          <w:rFonts w:hAnsi="宋体" w:cs="Arial"/>
          <w:color w:val="000000"/>
        </w:rPr>
        <w:t xml:space="preserve">: </w:t>
      </w:r>
    </w:p>
    <w:p w14:paraId="3F3E9D34">
      <w:pPr>
        <w:pStyle w:val="18"/>
        <w:spacing w:line="324" w:lineRule="auto"/>
        <w:ind w:left="2163" w:leftChars="607" w:right="120" w:rightChars="57" w:hanging="888" w:hangingChars="370"/>
        <w:rPr>
          <w:rFonts w:hAnsi="宋体" w:cs="Arial"/>
          <w:color w:val="000000"/>
        </w:rPr>
      </w:pPr>
      <w:r>
        <w:rPr>
          <w:rFonts w:hint="eastAsia" w:hAnsi="宋体" w:cs="Arial"/>
          <w:color w:val="000000"/>
        </w:rPr>
        <w:t>(一)</w:t>
      </w:r>
      <w:r>
        <w:rPr>
          <w:rFonts w:hint="eastAsia" w:hAnsi="宋体" w:cs="Arial"/>
          <w:color w:val="000000"/>
        </w:rPr>
        <w:tab/>
      </w:r>
      <w:r>
        <w:rPr>
          <w:rFonts w:hint="eastAsia" w:hAnsi="宋体" w:cs="Arial"/>
          <w:color w:val="000000"/>
        </w:rPr>
        <w:t>购买资产;</w:t>
      </w:r>
    </w:p>
    <w:p w14:paraId="6703AA52">
      <w:pPr>
        <w:pStyle w:val="18"/>
        <w:spacing w:line="324" w:lineRule="auto"/>
        <w:ind w:left="2163" w:leftChars="607" w:right="120" w:rightChars="57" w:hanging="888" w:hangingChars="370"/>
        <w:rPr>
          <w:rFonts w:hAnsi="宋体" w:cs="Arial"/>
          <w:color w:val="000000"/>
        </w:rPr>
      </w:pPr>
      <w:r>
        <w:rPr>
          <w:rFonts w:hint="eastAsia" w:hAnsi="宋体" w:cs="Arial"/>
          <w:color w:val="000000"/>
        </w:rPr>
        <w:t>(二)</w:t>
      </w:r>
      <w:r>
        <w:rPr>
          <w:rFonts w:hint="eastAsia" w:hAnsi="宋体" w:cs="Arial"/>
          <w:color w:val="000000"/>
        </w:rPr>
        <w:tab/>
      </w:r>
      <w:r>
        <w:rPr>
          <w:rFonts w:hint="eastAsia" w:hAnsi="宋体" w:cs="Arial"/>
          <w:color w:val="000000"/>
        </w:rPr>
        <w:t>出售资产;</w:t>
      </w:r>
    </w:p>
    <w:p w14:paraId="77BA52D9">
      <w:pPr>
        <w:pStyle w:val="18"/>
        <w:spacing w:line="324" w:lineRule="auto"/>
        <w:ind w:left="2163" w:leftChars="607" w:right="120" w:rightChars="57" w:hanging="888" w:hangingChars="370"/>
        <w:rPr>
          <w:rFonts w:hAnsi="宋体" w:cs="Arial"/>
          <w:color w:val="000000"/>
        </w:rPr>
      </w:pPr>
      <w:r>
        <w:rPr>
          <w:rFonts w:hint="eastAsia" w:hAnsi="宋体" w:cs="Arial"/>
          <w:color w:val="000000"/>
        </w:rPr>
        <w:t>(三)</w:t>
      </w:r>
      <w:r>
        <w:rPr>
          <w:rFonts w:hint="eastAsia" w:hAnsi="宋体" w:cs="Arial"/>
          <w:color w:val="000000"/>
        </w:rPr>
        <w:tab/>
      </w:r>
      <w:r>
        <w:rPr>
          <w:rFonts w:hint="eastAsia" w:hAnsi="宋体" w:cs="Arial"/>
          <w:color w:val="000000"/>
        </w:rPr>
        <w:t>对外投资(含委托理财、对子公司投资等);</w:t>
      </w:r>
    </w:p>
    <w:p w14:paraId="4E5E77A1">
      <w:pPr>
        <w:pStyle w:val="18"/>
        <w:spacing w:line="324" w:lineRule="auto"/>
        <w:ind w:left="2163" w:leftChars="607" w:right="120" w:rightChars="57" w:hanging="888" w:hangingChars="370"/>
        <w:rPr>
          <w:rFonts w:hAnsi="宋体" w:cs="Arial"/>
          <w:color w:val="000000"/>
        </w:rPr>
      </w:pPr>
      <w:r>
        <w:rPr>
          <w:rFonts w:hint="eastAsia" w:hAnsi="宋体" w:cs="Arial"/>
          <w:color w:val="000000"/>
        </w:rPr>
        <w:t>(四)</w:t>
      </w:r>
      <w:r>
        <w:rPr>
          <w:rFonts w:hint="eastAsia" w:hAnsi="宋体" w:cs="Arial"/>
          <w:color w:val="000000"/>
        </w:rPr>
        <w:tab/>
      </w:r>
      <w:r>
        <w:rPr>
          <w:rFonts w:hint="eastAsia" w:hAnsi="宋体" w:cs="Arial"/>
          <w:color w:val="000000"/>
        </w:rPr>
        <w:t>提供财务资助(含委托贷款等);</w:t>
      </w:r>
    </w:p>
    <w:p w14:paraId="6547968D">
      <w:pPr>
        <w:pStyle w:val="18"/>
        <w:spacing w:line="324" w:lineRule="auto"/>
        <w:ind w:left="2163" w:leftChars="607" w:right="120" w:rightChars="57" w:hanging="888" w:hangingChars="370"/>
        <w:rPr>
          <w:rFonts w:hAnsi="宋体" w:cs="Arial"/>
          <w:color w:val="000000"/>
        </w:rPr>
      </w:pPr>
      <w:r>
        <w:rPr>
          <w:rFonts w:hint="eastAsia" w:hAnsi="宋体" w:cs="Arial"/>
          <w:color w:val="000000"/>
        </w:rPr>
        <w:t>(五)</w:t>
      </w:r>
      <w:r>
        <w:rPr>
          <w:rFonts w:hint="eastAsia" w:hAnsi="宋体" w:cs="Arial"/>
          <w:color w:val="000000"/>
        </w:rPr>
        <w:tab/>
      </w:r>
      <w:r>
        <w:rPr>
          <w:rFonts w:hint="eastAsia" w:hAnsi="宋体" w:cs="Arial"/>
          <w:color w:val="000000"/>
        </w:rPr>
        <w:t>提供担保(含对控股子公司担保等);</w:t>
      </w:r>
    </w:p>
    <w:p w14:paraId="0A3311E3">
      <w:pPr>
        <w:pStyle w:val="18"/>
        <w:spacing w:line="324" w:lineRule="auto"/>
        <w:ind w:left="2163" w:leftChars="607" w:right="120" w:rightChars="57" w:hanging="888" w:hangingChars="370"/>
        <w:rPr>
          <w:rFonts w:hAnsi="宋体" w:cs="Arial"/>
          <w:color w:val="000000"/>
        </w:rPr>
      </w:pPr>
      <w:r>
        <w:rPr>
          <w:rFonts w:hint="eastAsia" w:hAnsi="宋体" w:cs="Arial"/>
          <w:color w:val="000000"/>
        </w:rPr>
        <w:t>(六)</w:t>
      </w:r>
      <w:r>
        <w:rPr>
          <w:rFonts w:hint="eastAsia" w:hAnsi="宋体" w:cs="Arial"/>
          <w:color w:val="000000"/>
        </w:rPr>
        <w:tab/>
      </w:r>
      <w:r>
        <w:rPr>
          <w:rFonts w:hint="eastAsia" w:hAnsi="宋体" w:cs="Arial"/>
          <w:color w:val="000000"/>
        </w:rPr>
        <w:t>租入或租出资产;</w:t>
      </w:r>
    </w:p>
    <w:p w14:paraId="0D141EF8">
      <w:pPr>
        <w:pStyle w:val="18"/>
        <w:spacing w:line="324" w:lineRule="auto"/>
        <w:ind w:left="2163" w:leftChars="607" w:right="120" w:rightChars="57" w:hanging="888" w:hangingChars="370"/>
        <w:rPr>
          <w:rFonts w:hAnsi="宋体" w:cs="Arial"/>
          <w:color w:val="000000"/>
        </w:rPr>
      </w:pPr>
      <w:r>
        <w:rPr>
          <w:rFonts w:hint="eastAsia" w:hAnsi="宋体" w:cs="Arial"/>
          <w:color w:val="000000"/>
        </w:rPr>
        <w:t>(七)</w:t>
      </w:r>
      <w:r>
        <w:rPr>
          <w:rFonts w:hint="eastAsia" w:hAnsi="宋体" w:cs="Arial"/>
          <w:color w:val="000000"/>
        </w:rPr>
        <w:tab/>
      </w:r>
      <w:r>
        <w:rPr>
          <w:rFonts w:hint="eastAsia" w:hAnsi="宋体" w:cs="Arial"/>
          <w:color w:val="000000"/>
        </w:rPr>
        <w:t>委托或者受托管理资产和业务;</w:t>
      </w:r>
    </w:p>
    <w:p w14:paraId="0F4A3004">
      <w:pPr>
        <w:pStyle w:val="18"/>
        <w:spacing w:line="324" w:lineRule="auto"/>
        <w:ind w:left="2163" w:leftChars="607" w:right="120" w:rightChars="57" w:hanging="888" w:hangingChars="370"/>
        <w:rPr>
          <w:rFonts w:hAnsi="宋体" w:cs="Arial"/>
          <w:color w:val="000000"/>
        </w:rPr>
      </w:pPr>
      <w:r>
        <w:rPr>
          <w:rFonts w:hint="eastAsia" w:hAnsi="宋体" w:cs="Arial"/>
          <w:color w:val="000000"/>
        </w:rPr>
        <w:t>(八)</w:t>
      </w:r>
      <w:r>
        <w:rPr>
          <w:rFonts w:hint="eastAsia" w:hAnsi="宋体" w:cs="Arial"/>
          <w:color w:val="000000"/>
        </w:rPr>
        <w:tab/>
      </w:r>
      <w:r>
        <w:rPr>
          <w:rFonts w:hint="eastAsia" w:hAnsi="宋体" w:cs="Arial"/>
          <w:color w:val="000000"/>
        </w:rPr>
        <w:t>赠与或受赠资产;</w:t>
      </w:r>
    </w:p>
    <w:p w14:paraId="795A0FC5">
      <w:pPr>
        <w:pStyle w:val="18"/>
        <w:spacing w:line="324" w:lineRule="auto"/>
        <w:ind w:left="2163" w:leftChars="607" w:right="120" w:rightChars="57" w:hanging="888" w:hangingChars="370"/>
        <w:rPr>
          <w:rFonts w:hAnsi="宋体" w:cs="Arial"/>
          <w:color w:val="000000"/>
        </w:rPr>
      </w:pPr>
      <w:r>
        <w:rPr>
          <w:rFonts w:hint="eastAsia" w:hAnsi="宋体" w:cs="Arial"/>
          <w:color w:val="000000"/>
        </w:rPr>
        <w:t>(九)</w:t>
      </w:r>
      <w:r>
        <w:rPr>
          <w:rFonts w:hint="eastAsia" w:hAnsi="宋体" w:cs="Arial"/>
          <w:color w:val="000000"/>
        </w:rPr>
        <w:tab/>
      </w:r>
      <w:r>
        <w:rPr>
          <w:rFonts w:hint="eastAsia" w:hAnsi="宋体" w:cs="Arial"/>
          <w:color w:val="000000"/>
        </w:rPr>
        <w:t>债权或债务重组;</w:t>
      </w:r>
    </w:p>
    <w:p w14:paraId="1FB7B663">
      <w:pPr>
        <w:pStyle w:val="18"/>
        <w:spacing w:line="324" w:lineRule="auto"/>
        <w:ind w:left="2163" w:leftChars="607" w:right="120" w:rightChars="57" w:hanging="888" w:hangingChars="370"/>
        <w:rPr>
          <w:rFonts w:hAnsi="宋体" w:cs="Arial"/>
          <w:color w:val="000000"/>
        </w:rPr>
      </w:pPr>
      <w:r>
        <w:rPr>
          <w:rFonts w:hint="eastAsia" w:hAnsi="宋体" w:cs="Arial"/>
          <w:color w:val="000000"/>
        </w:rPr>
        <w:t>(十)</w:t>
      </w:r>
      <w:r>
        <w:rPr>
          <w:rFonts w:hint="eastAsia" w:hAnsi="宋体" w:cs="Arial"/>
          <w:color w:val="000000"/>
        </w:rPr>
        <w:tab/>
      </w:r>
      <w:r>
        <w:rPr>
          <w:rFonts w:hint="eastAsia" w:hAnsi="宋体" w:cs="Arial"/>
          <w:color w:val="000000"/>
        </w:rPr>
        <w:t>转让或者受让研发项目;</w:t>
      </w:r>
    </w:p>
    <w:p w14:paraId="61D00B5C">
      <w:pPr>
        <w:pStyle w:val="18"/>
        <w:spacing w:line="324" w:lineRule="auto"/>
        <w:ind w:left="2163" w:leftChars="607" w:right="120" w:rightChars="57" w:hanging="888" w:hangingChars="370"/>
        <w:rPr>
          <w:rFonts w:hAnsi="宋体" w:cs="Arial"/>
          <w:color w:val="000000"/>
        </w:rPr>
      </w:pPr>
      <w:r>
        <w:rPr>
          <w:rFonts w:hint="eastAsia" w:hAnsi="宋体" w:cs="Arial"/>
          <w:color w:val="000000"/>
        </w:rPr>
        <w:t>(十一)</w:t>
      </w:r>
      <w:r>
        <w:rPr>
          <w:rFonts w:hint="eastAsia" w:hAnsi="宋体" w:cs="Arial"/>
          <w:color w:val="000000"/>
        </w:rPr>
        <w:tab/>
      </w:r>
      <w:r>
        <w:rPr>
          <w:rFonts w:hint="eastAsia" w:hAnsi="宋体" w:cs="Arial"/>
          <w:color w:val="000000"/>
        </w:rPr>
        <w:t>签订许可协议;</w:t>
      </w:r>
    </w:p>
    <w:p w14:paraId="2CA81EFD">
      <w:pPr>
        <w:pStyle w:val="18"/>
        <w:spacing w:line="324" w:lineRule="auto"/>
        <w:ind w:left="2163" w:leftChars="607" w:right="120" w:rightChars="57" w:hanging="888" w:hangingChars="370"/>
        <w:rPr>
          <w:rFonts w:hAnsi="宋体" w:cs="Arial"/>
          <w:color w:val="000000"/>
        </w:rPr>
      </w:pPr>
      <w:r>
        <w:rPr>
          <w:rFonts w:hint="eastAsia" w:hAnsi="宋体" w:cs="Arial"/>
          <w:color w:val="000000"/>
        </w:rPr>
        <w:t>(十二)</w:t>
      </w:r>
      <w:r>
        <w:rPr>
          <w:rFonts w:hint="eastAsia" w:hAnsi="宋体" w:cs="Arial"/>
          <w:color w:val="000000"/>
        </w:rPr>
        <w:tab/>
      </w:r>
      <w:r>
        <w:rPr>
          <w:rFonts w:hint="eastAsia" w:hAnsi="宋体" w:cs="Arial"/>
          <w:color w:val="000000"/>
        </w:rPr>
        <w:t xml:space="preserve">放弃权利(含放弃优先购买权、优先认缴出资权利等); </w:t>
      </w:r>
    </w:p>
    <w:p w14:paraId="1DE15E25">
      <w:pPr>
        <w:pStyle w:val="18"/>
        <w:spacing w:line="324" w:lineRule="auto"/>
        <w:ind w:left="2163" w:leftChars="607" w:right="120" w:rightChars="57" w:hanging="888" w:hangingChars="370"/>
        <w:rPr>
          <w:rFonts w:hAnsi="宋体" w:cs="Arial"/>
          <w:color w:val="000000"/>
        </w:rPr>
      </w:pPr>
      <w:r>
        <w:rPr>
          <w:rFonts w:hint="eastAsia" w:hAnsi="宋体" w:cs="Arial"/>
          <w:color w:val="000000"/>
        </w:rPr>
        <w:t>(十三)</w:t>
      </w:r>
      <w:r>
        <w:rPr>
          <w:rFonts w:hint="eastAsia" w:hAnsi="宋体" w:cs="Arial"/>
          <w:color w:val="000000"/>
        </w:rPr>
        <w:tab/>
      </w:r>
      <w:r>
        <w:rPr>
          <w:rFonts w:hint="eastAsia" w:hAnsi="宋体" w:cs="Arial"/>
          <w:color w:val="000000"/>
        </w:rPr>
        <w:t>购买原材料、燃料、动力;</w:t>
      </w:r>
    </w:p>
    <w:p w14:paraId="7F18F047">
      <w:pPr>
        <w:pStyle w:val="18"/>
        <w:spacing w:line="324" w:lineRule="auto"/>
        <w:ind w:left="2163" w:leftChars="607" w:right="120" w:rightChars="57" w:hanging="888" w:hangingChars="370"/>
        <w:rPr>
          <w:rFonts w:hAnsi="宋体" w:cs="Arial"/>
          <w:color w:val="000000"/>
        </w:rPr>
      </w:pPr>
      <w:r>
        <w:rPr>
          <w:rFonts w:hint="eastAsia" w:hAnsi="宋体" w:cs="Arial"/>
          <w:color w:val="000000"/>
        </w:rPr>
        <w:t>(十四)</w:t>
      </w:r>
      <w:r>
        <w:rPr>
          <w:rFonts w:hint="eastAsia" w:hAnsi="宋体" w:cs="Arial"/>
          <w:color w:val="000000"/>
        </w:rPr>
        <w:tab/>
      </w:r>
      <w:r>
        <w:rPr>
          <w:rFonts w:hint="eastAsia" w:hAnsi="宋体" w:cs="Arial"/>
          <w:color w:val="000000"/>
        </w:rPr>
        <w:t>销售产品、商品;</w:t>
      </w:r>
    </w:p>
    <w:p w14:paraId="5255EE12">
      <w:pPr>
        <w:pStyle w:val="18"/>
        <w:spacing w:line="324" w:lineRule="auto"/>
        <w:ind w:left="2163" w:leftChars="607" w:right="120" w:rightChars="57" w:hanging="888" w:hangingChars="370"/>
        <w:rPr>
          <w:rFonts w:hAnsi="宋体" w:cs="Arial"/>
          <w:color w:val="000000"/>
        </w:rPr>
      </w:pPr>
      <w:r>
        <w:rPr>
          <w:rFonts w:hint="eastAsia" w:hAnsi="宋体" w:cs="Arial"/>
          <w:color w:val="000000"/>
        </w:rPr>
        <w:t>(十五)</w:t>
      </w:r>
      <w:r>
        <w:rPr>
          <w:rFonts w:hint="eastAsia" w:hAnsi="宋体" w:cs="Arial"/>
          <w:color w:val="000000"/>
        </w:rPr>
        <w:tab/>
      </w:r>
      <w:r>
        <w:rPr>
          <w:rFonts w:hint="eastAsia" w:hAnsi="宋体" w:cs="Arial"/>
          <w:color w:val="000000"/>
        </w:rPr>
        <w:t>提供或接受劳务;</w:t>
      </w:r>
    </w:p>
    <w:p w14:paraId="0DB2B7DF">
      <w:pPr>
        <w:pStyle w:val="18"/>
        <w:spacing w:line="324" w:lineRule="auto"/>
        <w:ind w:left="2163" w:leftChars="607" w:right="120" w:rightChars="57" w:hanging="888" w:hangingChars="370"/>
        <w:rPr>
          <w:rFonts w:hAnsi="宋体" w:cs="Arial"/>
          <w:color w:val="000000"/>
        </w:rPr>
      </w:pPr>
      <w:r>
        <w:rPr>
          <w:rFonts w:hint="eastAsia" w:hAnsi="宋体" w:cs="Arial"/>
          <w:color w:val="000000"/>
        </w:rPr>
        <w:t>(十六)</w:t>
      </w:r>
      <w:r>
        <w:rPr>
          <w:rFonts w:hint="eastAsia" w:hAnsi="宋体" w:cs="Arial"/>
          <w:color w:val="000000"/>
        </w:rPr>
        <w:tab/>
      </w:r>
      <w:r>
        <w:rPr>
          <w:rFonts w:hint="eastAsia" w:hAnsi="宋体" w:cs="Arial"/>
          <w:color w:val="000000"/>
        </w:rPr>
        <w:t>委托或受托销售;</w:t>
      </w:r>
    </w:p>
    <w:p w14:paraId="7F040920">
      <w:pPr>
        <w:pStyle w:val="18"/>
        <w:spacing w:line="324" w:lineRule="auto"/>
        <w:ind w:left="2163" w:leftChars="607" w:right="120" w:rightChars="57" w:hanging="888" w:hangingChars="370"/>
        <w:rPr>
          <w:rFonts w:hAnsi="宋体" w:cs="Arial"/>
          <w:color w:val="000000"/>
        </w:rPr>
      </w:pPr>
      <w:r>
        <w:rPr>
          <w:rFonts w:hint="eastAsia" w:hAnsi="宋体" w:cs="Arial"/>
          <w:color w:val="000000"/>
        </w:rPr>
        <w:t>(十七)</w:t>
      </w:r>
      <w:r>
        <w:rPr>
          <w:rFonts w:hint="eastAsia" w:hAnsi="宋体" w:cs="Arial"/>
          <w:color w:val="000000"/>
        </w:rPr>
        <w:tab/>
      </w:r>
      <w:r>
        <w:rPr>
          <w:rFonts w:hint="eastAsia" w:hAnsi="宋体" w:cs="Arial"/>
          <w:color w:val="000000"/>
        </w:rPr>
        <w:t xml:space="preserve">存贷款业务; </w:t>
      </w:r>
    </w:p>
    <w:p w14:paraId="63FAB345">
      <w:pPr>
        <w:pStyle w:val="18"/>
        <w:spacing w:line="324" w:lineRule="auto"/>
        <w:ind w:left="2163" w:leftChars="607" w:right="120" w:rightChars="57" w:hanging="888" w:hangingChars="370"/>
        <w:rPr>
          <w:rFonts w:hAnsi="宋体" w:cs="Arial"/>
          <w:color w:val="000000"/>
        </w:rPr>
      </w:pPr>
      <w:r>
        <w:rPr>
          <w:rFonts w:hint="eastAsia" w:hAnsi="宋体" w:cs="Arial"/>
          <w:color w:val="000000"/>
        </w:rPr>
        <w:t>(十八)</w:t>
      </w:r>
      <w:r>
        <w:rPr>
          <w:rFonts w:hint="eastAsia" w:hAnsi="宋体" w:cs="Arial"/>
          <w:color w:val="000000"/>
        </w:rPr>
        <w:tab/>
      </w:r>
      <w:r>
        <w:rPr>
          <w:rFonts w:hint="eastAsia" w:hAnsi="宋体" w:cs="Arial"/>
          <w:color w:val="000000"/>
        </w:rPr>
        <w:t>与关联人共同投资;</w:t>
      </w:r>
    </w:p>
    <w:p w14:paraId="2363B466">
      <w:pPr>
        <w:pStyle w:val="18"/>
        <w:spacing w:line="324" w:lineRule="auto"/>
        <w:ind w:left="2163" w:leftChars="607" w:right="120" w:rightChars="57" w:hanging="888" w:hangingChars="370"/>
        <w:jc w:val="both"/>
        <w:rPr>
          <w:rFonts w:hAnsi="宋体" w:cs="Arial"/>
          <w:color w:val="000000"/>
        </w:rPr>
      </w:pPr>
      <w:r>
        <w:rPr>
          <w:rFonts w:hint="eastAsia" w:hAnsi="宋体" w:cs="Arial"/>
        </w:rPr>
        <w:t>(十九)</w:t>
      </w:r>
      <w:r>
        <w:rPr>
          <w:rFonts w:hint="eastAsia" w:hAnsi="宋体" w:cs="Arial"/>
        </w:rPr>
        <w:tab/>
      </w:r>
      <w:r>
        <w:rPr>
          <w:rFonts w:hint="eastAsia" w:hAnsi="宋体" w:cs="Arial"/>
        </w:rPr>
        <w:t>其他通过约定可能造成资源或义务转移的事项。</w:t>
      </w:r>
    </w:p>
    <w:p w14:paraId="7144D3B5">
      <w:pPr>
        <w:pStyle w:val="17"/>
        <w:spacing w:line="324" w:lineRule="auto"/>
        <w:rPr>
          <w:rFonts w:hAnsi="宋体" w:cs="Times New Roman"/>
        </w:rPr>
      </w:pPr>
    </w:p>
    <w:p w14:paraId="167C4DCA">
      <w:pPr>
        <w:pStyle w:val="18"/>
        <w:numPr>
          <w:ilvl w:val="0"/>
          <w:numId w:val="1"/>
        </w:numPr>
        <w:tabs>
          <w:tab w:val="left" w:pos="1276"/>
          <w:tab w:val="clear" w:pos="1455"/>
        </w:tabs>
        <w:spacing w:line="324" w:lineRule="auto"/>
        <w:ind w:left="1276" w:right="120" w:hanging="1276"/>
        <w:rPr>
          <w:rFonts w:hAnsi="宋体" w:cs="Times New Roman"/>
          <w:color w:val="000000"/>
        </w:rPr>
      </w:pPr>
      <w:r>
        <w:rPr>
          <w:rFonts w:hint="eastAsia" w:hAnsi="宋体"/>
          <w:color w:val="000000"/>
        </w:rPr>
        <w:t>关联交易决策权限</w:t>
      </w:r>
    </w:p>
    <w:p w14:paraId="77861D6A">
      <w:pPr>
        <w:pStyle w:val="17"/>
        <w:spacing w:line="324" w:lineRule="auto"/>
        <w:rPr>
          <w:rFonts w:hAnsi="宋体" w:cs="Times New Roman"/>
        </w:rPr>
      </w:pPr>
    </w:p>
    <w:p w14:paraId="296B0A0A">
      <w:pPr>
        <w:pStyle w:val="18"/>
        <w:spacing w:line="324" w:lineRule="auto"/>
        <w:ind w:left="2163" w:leftChars="607" w:right="120" w:rightChars="57" w:hanging="888" w:hangingChars="370"/>
        <w:jc w:val="both"/>
        <w:rPr>
          <w:rFonts w:hAnsi="宋体" w:cs="Times New Roman"/>
        </w:rPr>
      </w:pPr>
      <w:r>
        <w:rPr>
          <w:rFonts w:hAnsi="宋体" w:cs="Arial"/>
        </w:rPr>
        <w:t>(</w:t>
      </w:r>
      <w:r>
        <w:rPr>
          <w:rFonts w:hint="eastAsia" w:hAnsi="宋体"/>
        </w:rPr>
        <w:t>一</w:t>
      </w:r>
      <w:r>
        <w:rPr>
          <w:rFonts w:hAnsi="宋体" w:cs="Arial"/>
        </w:rPr>
        <w:t>)</w:t>
      </w:r>
      <w:r>
        <w:rPr>
          <w:rFonts w:hAnsi="宋体" w:cs="Times New Roman"/>
        </w:rPr>
        <w:tab/>
      </w:r>
      <w:r>
        <w:rPr>
          <w:rFonts w:hint="eastAsia" w:hAnsi="宋体"/>
        </w:rPr>
        <w:t>股东会</w:t>
      </w:r>
    </w:p>
    <w:p w14:paraId="048D71FC">
      <w:pPr>
        <w:pStyle w:val="17"/>
        <w:spacing w:line="324" w:lineRule="auto"/>
        <w:ind w:firstLine="480"/>
        <w:jc w:val="both"/>
        <w:rPr>
          <w:rFonts w:hAnsi="宋体" w:cs="Arial"/>
        </w:rPr>
      </w:pPr>
    </w:p>
    <w:p w14:paraId="0522CBA6">
      <w:pPr>
        <w:pStyle w:val="17"/>
        <w:spacing w:line="324" w:lineRule="auto"/>
        <w:ind w:left="1676" w:leftChars="798"/>
        <w:jc w:val="both"/>
        <w:rPr>
          <w:rFonts w:hAnsi="宋体" w:cs="Arial"/>
        </w:rPr>
      </w:pPr>
      <w:r>
        <w:rPr>
          <w:rFonts w:hint="eastAsia" w:hAnsi="宋体" w:cs="Arial"/>
        </w:rPr>
        <w:t>公司与关联人发生的成交金额超过3000万元, 且占公司最近一期经审计净资产绝对值超过5%的关联交易, 应聘请符合要求的中介机构, 对交易标的进行评估或者审计, 并将该交易提交股东会审议。</w:t>
      </w:r>
    </w:p>
    <w:p w14:paraId="2BFC825F">
      <w:pPr>
        <w:pStyle w:val="17"/>
        <w:spacing w:line="324" w:lineRule="auto"/>
        <w:ind w:left="1676" w:leftChars="798"/>
        <w:jc w:val="both"/>
        <w:rPr>
          <w:rFonts w:hAnsi="宋体" w:cs="Arial"/>
        </w:rPr>
      </w:pPr>
    </w:p>
    <w:p w14:paraId="2D0139A1">
      <w:pPr>
        <w:pStyle w:val="17"/>
        <w:spacing w:line="324" w:lineRule="auto"/>
        <w:ind w:left="1676" w:leftChars="798"/>
        <w:jc w:val="both"/>
        <w:rPr>
          <w:rFonts w:hAnsi="宋体" w:cs="Arial"/>
        </w:rPr>
      </w:pPr>
      <w:r>
        <w:rPr>
          <w:rFonts w:hint="eastAsia" w:hAnsi="宋体" w:cs="Arial"/>
        </w:rPr>
        <w:t>公司与关联人发生下列情形之一的交易时, 可以免于审计或者评估:</w:t>
      </w:r>
    </w:p>
    <w:p w14:paraId="5785F645">
      <w:pPr>
        <w:pStyle w:val="17"/>
        <w:numPr>
          <w:ilvl w:val="0"/>
          <w:numId w:val="2"/>
        </w:numPr>
        <w:spacing w:line="324" w:lineRule="auto"/>
        <w:rPr>
          <w:rFonts w:hAnsi="宋体" w:cs="Times New Roman"/>
        </w:rPr>
      </w:pPr>
      <w:r>
        <w:rPr>
          <w:rFonts w:hint="eastAsia" w:hAnsi="宋体" w:cs="Times New Roman"/>
        </w:rPr>
        <w:t>属于购买原材料、燃料和动力、接受劳务、出售产品、商品、提供劳务、工程承包等日常关联交易;</w:t>
      </w:r>
    </w:p>
    <w:p w14:paraId="63589913">
      <w:pPr>
        <w:pStyle w:val="17"/>
        <w:numPr>
          <w:ilvl w:val="0"/>
          <w:numId w:val="2"/>
        </w:numPr>
        <w:spacing w:line="324" w:lineRule="auto"/>
        <w:rPr>
          <w:rFonts w:hAnsi="宋体" w:cs="Times New Roman"/>
        </w:rPr>
      </w:pPr>
      <w:r>
        <w:rPr>
          <w:rFonts w:hint="eastAsia" w:hAnsi="宋体" w:cs="Times New Roman"/>
        </w:rPr>
        <w:tab/>
      </w:r>
      <w:r>
        <w:rPr>
          <w:rFonts w:hint="eastAsia" w:hAnsi="宋体" w:cs="Times New Roman"/>
        </w:rPr>
        <w:t>与关联人等各方均以现金出资, 且按照出资比例确定各方在所投资主体的权益比例;</w:t>
      </w:r>
    </w:p>
    <w:p w14:paraId="38437296">
      <w:pPr>
        <w:pStyle w:val="17"/>
        <w:numPr>
          <w:ilvl w:val="0"/>
          <w:numId w:val="2"/>
        </w:numPr>
        <w:spacing w:line="324" w:lineRule="auto"/>
        <w:rPr>
          <w:rFonts w:hAnsi="宋体" w:cs="Times New Roman"/>
        </w:rPr>
      </w:pPr>
      <w:r>
        <w:rPr>
          <w:rFonts w:hint="eastAsia" w:hAnsi="宋体" w:cs="Times New Roman"/>
        </w:rPr>
        <w:t>法律、行政法规、规范性文件及深圳证券交易所规定的其他情形。</w:t>
      </w:r>
    </w:p>
    <w:p w14:paraId="4BA010D3">
      <w:pPr>
        <w:pStyle w:val="17"/>
        <w:tabs>
          <w:tab w:val="left" w:pos="2694"/>
        </w:tabs>
        <w:spacing w:line="324" w:lineRule="auto"/>
        <w:ind w:left="2692" w:leftChars="1012" w:hanging="567"/>
        <w:jc w:val="both"/>
        <w:rPr>
          <w:rFonts w:hAnsi="宋体" w:cs="Times New Roman"/>
        </w:rPr>
      </w:pPr>
    </w:p>
    <w:p w14:paraId="31CE8087">
      <w:pPr>
        <w:pStyle w:val="18"/>
        <w:spacing w:line="324" w:lineRule="auto"/>
        <w:ind w:left="2163" w:leftChars="607" w:right="120" w:rightChars="57" w:hanging="888" w:hangingChars="370"/>
        <w:jc w:val="both"/>
        <w:rPr>
          <w:rFonts w:hAnsi="宋体" w:cs="Times New Roman"/>
          <w:color w:val="000000"/>
        </w:rPr>
      </w:pPr>
      <w:r>
        <w:rPr>
          <w:rFonts w:hAnsi="宋体" w:cs="Arial"/>
          <w:color w:val="000000"/>
        </w:rPr>
        <w:t>(</w:t>
      </w:r>
      <w:r>
        <w:rPr>
          <w:rFonts w:hint="eastAsia" w:hAnsi="宋体"/>
          <w:color w:val="000000"/>
        </w:rPr>
        <w:t>二</w:t>
      </w:r>
      <w:r>
        <w:rPr>
          <w:rFonts w:hAnsi="宋体" w:cs="Arial"/>
          <w:color w:val="000000"/>
        </w:rPr>
        <w:t>)</w:t>
      </w:r>
      <w:r>
        <w:rPr>
          <w:rFonts w:hAnsi="宋体" w:cs="Times New Roman"/>
          <w:color w:val="000000"/>
        </w:rPr>
        <w:tab/>
      </w:r>
      <w:r>
        <w:rPr>
          <w:rFonts w:hint="eastAsia" w:hAnsi="宋体"/>
          <w:color w:val="000000"/>
        </w:rPr>
        <w:t>董事会</w:t>
      </w:r>
    </w:p>
    <w:p w14:paraId="2F7C7849">
      <w:pPr>
        <w:pStyle w:val="17"/>
        <w:tabs>
          <w:tab w:val="left" w:pos="2694"/>
        </w:tabs>
        <w:spacing w:line="324" w:lineRule="auto"/>
        <w:ind w:left="2692" w:leftChars="1012" w:hanging="567"/>
        <w:jc w:val="both"/>
        <w:rPr>
          <w:rFonts w:hAnsi="宋体" w:cs="Arial"/>
        </w:rPr>
      </w:pPr>
      <w:r>
        <w:rPr>
          <w:rFonts w:hAnsi="宋体" w:cs="Arial"/>
        </w:rPr>
        <w:t>1.</w:t>
      </w:r>
      <w:r>
        <w:rPr>
          <w:rFonts w:hAnsi="宋体" w:cs="Arial"/>
        </w:rPr>
        <w:tab/>
      </w:r>
      <w:r>
        <w:rPr>
          <w:rFonts w:hint="eastAsia" w:hAnsi="宋体"/>
        </w:rPr>
        <w:t>公司与其关联法人达成的关联交易金额在</w:t>
      </w:r>
      <w:r>
        <w:rPr>
          <w:rFonts w:hAnsi="宋体" w:cs="Arial"/>
        </w:rPr>
        <w:t>300</w:t>
      </w:r>
      <w:r>
        <w:rPr>
          <w:rFonts w:hint="eastAsia" w:hAnsi="宋体"/>
        </w:rPr>
        <w:t>万元</w:t>
      </w:r>
      <w:r>
        <w:rPr>
          <w:rFonts w:hAnsi="宋体" w:cs="Arial"/>
        </w:rPr>
        <w:t>(</w:t>
      </w:r>
      <w:r>
        <w:rPr>
          <w:rFonts w:hint="eastAsia" w:hAnsi="宋体"/>
        </w:rPr>
        <w:t>含</w:t>
      </w:r>
      <w:r>
        <w:rPr>
          <w:rFonts w:hAnsi="宋体" w:cs="Arial"/>
        </w:rPr>
        <w:t>300</w:t>
      </w:r>
      <w:r>
        <w:rPr>
          <w:rFonts w:hint="eastAsia" w:hAnsi="宋体"/>
        </w:rPr>
        <w:t>万元</w:t>
      </w:r>
      <w:r>
        <w:rPr>
          <w:rFonts w:hAnsi="宋体" w:cs="Arial"/>
        </w:rPr>
        <w:t>)</w:t>
      </w:r>
      <w:r>
        <w:rPr>
          <w:rFonts w:hint="eastAsia" w:hAnsi="宋体"/>
        </w:rPr>
        <w:t>至</w:t>
      </w:r>
      <w:r>
        <w:rPr>
          <w:rFonts w:hAnsi="宋体" w:cs="Arial"/>
        </w:rPr>
        <w:t>3000</w:t>
      </w:r>
      <w:r>
        <w:rPr>
          <w:rFonts w:hint="eastAsia" w:hAnsi="宋体"/>
        </w:rPr>
        <w:t>万元</w:t>
      </w:r>
      <w:r>
        <w:rPr>
          <w:rFonts w:hAnsi="宋体" w:cs="Arial"/>
        </w:rPr>
        <w:t>(</w:t>
      </w:r>
      <w:r>
        <w:rPr>
          <w:rFonts w:hint="eastAsia" w:hAnsi="宋体"/>
        </w:rPr>
        <w:t>不含</w:t>
      </w:r>
      <w:r>
        <w:rPr>
          <w:rFonts w:hAnsi="宋体" w:cs="Arial"/>
        </w:rPr>
        <w:t>3000</w:t>
      </w:r>
      <w:r>
        <w:rPr>
          <w:rFonts w:hint="eastAsia" w:hAnsi="宋体"/>
        </w:rPr>
        <w:t>万元</w:t>
      </w:r>
      <w:r>
        <w:rPr>
          <w:rFonts w:hAnsi="宋体" w:cs="Arial"/>
        </w:rPr>
        <w:t>)</w:t>
      </w:r>
      <w:r>
        <w:rPr>
          <w:rFonts w:hint="eastAsia" w:hAnsi="宋体"/>
        </w:rPr>
        <w:t>之间且占公司最近一期经审计净资产值的</w:t>
      </w:r>
      <w:r>
        <w:rPr>
          <w:rFonts w:hAnsi="宋体" w:cs="Arial"/>
        </w:rPr>
        <w:t>0.5%</w:t>
      </w:r>
      <w:r>
        <w:rPr>
          <w:rFonts w:hint="eastAsia" w:hAnsi="宋体"/>
        </w:rPr>
        <w:t>以上的</w:t>
      </w:r>
      <w:r>
        <w:rPr>
          <w:rFonts w:hAnsi="宋体" w:cs="Arial"/>
        </w:rPr>
        <w:t xml:space="preserve">, </w:t>
      </w:r>
      <w:r>
        <w:rPr>
          <w:rFonts w:hint="eastAsia" w:hAnsi="宋体"/>
        </w:rPr>
        <w:t>由公司董事会审议通过后实施</w:t>
      </w:r>
      <w:r>
        <w:rPr>
          <w:rFonts w:hAnsi="宋体" w:cs="Arial"/>
        </w:rPr>
        <w:t xml:space="preserve">; </w:t>
      </w:r>
    </w:p>
    <w:p w14:paraId="071F62D0">
      <w:pPr>
        <w:pStyle w:val="17"/>
        <w:tabs>
          <w:tab w:val="left" w:pos="2694"/>
        </w:tabs>
        <w:spacing w:line="324" w:lineRule="auto"/>
        <w:ind w:left="2692" w:leftChars="1012" w:hanging="567"/>
        <w:jc w:val="both"/>
        <w:rPr>
          <w:rFonts w:hAnsi="宋体" w:cs="Times New Roman"/>
        </w:rPr>
      </w:pPr>
      <w:r>
        <w:rPr>
          <w:rFonts w:hAnsi="宋体" w:cs="Arial"/>
        </w:rPr>
        <w:t>2.</w:t>
      </w:r>
      <w:r>
        <w:rPr>
          <w:rFonts w:hAnsi="宋体" w:cs="Arial"/>
        </w:rPr>
        <w:tab/>
      </w:r>
      <w:r>
        <w:rPr>
          <w:rFonts w:hint="eastAsia" w:hAnsi="宋体"/>
        </w:rPr>
        <w:t>公司与其关联自然人发生的交易金额在</w:t>
      </w:r>
      <w:r>
        <w:rPr>
          <w:rFonts w:hAnsi="宋体" w:cs="Arial"/>
        </w:rPr>
        <w:t>300</w:t>
      </w:r>
      <w:r>
        <w:rPr>
          <w:rFonts w:hint="eastAsia" w:hAnsi="宋体"/>
        </w:rPr>
        <w:t>万元以下</w:t>
      </w:r>
      <w:r>
        <w:rPr>
          <w:rFonts w:hAnsi="宋体" w:cs="Arial"/>
        </w:rPr>
        <w:t xml:space="preserve">, </w:t>
      </w:r>
      <w:r>
        <w:rPr>
          <w:rFonts w:hint="eastAsia" w:hAnsi="宋体" w:cs="Arial"/>
        </w:rPr>
        <w:t>30</w:t>
      </w:r>
      <w:r>
        <w:rPr>
          <w:rFonts w:hint="eastAsia" w:hAnsi="宋体"/>
        </w:rPr>
        <w:t>万元</w:t>
      </w:r>
      <w:r>
        <w:rPr>
          <w:rFonts w:hAnsi="宋体" w:cs="Arial"/>
        </w:rPr>
        <w:t>(</w:t>
      </w:r>
      <w:r>
        <w:rPr>
          <w:rFonts w:hint="eastAsia" w:hAnsi="宋体"/>
        </w:rPr>
        <w:t>含</w:t>
      </w:r>
      <w:r>
        <w:rPr>
          <w:rFonts w:hint="eastAsia" w:hAnsi="宋体" w:cs="Arial"/>
        </w:rPr>
        <w:t>3</w:t>
      </w:r>
      <w:r>
        <w:rPr>
          <w:rFonts w:hAnsi="宋体" w:cs="Arial"/>
        </w:rPr>
        <w:t>0</w:t>
      </w:r>
      <w:r>
        <w:rPr>
          <w:rFonts w:hint="eastAsia" w:hAnsi="宋体"/>
        </w:rPr>
        <w:t>万元</w:t>
      </w:r>
      <w:r>
        <w:rPr>
          <w:rFonts w:hAnsi="宋体" w:cs="Arial"/>
        </w:rPr>
        <w:t>)</w:t>
      </w:r>
      <w:r>
        <w:rPr>
          <w:rFonts w:hint="eastAsia" w:hAnsi="宋体"/>
        </w:rPr>
        <w:t>以上的</w:t>
      </w:r>
      <w:r>
        <w:rPr>
          <w:rFonts w:hAnsi="宋体" w:cs="Arial"/>
        </w:rPr>
        <w:t xml:space="preserve">, </w:t>
      </w:r>
      <w:r>
        <w:rPr>
          <w:rFonts w:hint="eastAsia" w:hAnsi="宋体"/>
        </w:rPr>
        <w:t>由公司董事会审议通过后实施。</w:t>
      </w:r>
    </w:p>
    <w:p w14:paraId="348463BD">
      <w:pPr>
        <w:pStyle w:val="17"/>
        <w:spacing w:line="324" w:lineRule="auto"/>
        <w:ind w:firstLine="480"/>
        <w:rPr>
          <w:rFonts w:hAnsi="宋体" w:cs="Arial"/>
        </w:rPr>
      </w:pPr>
    </w:p>
    <w:p w14:paraId="117518F8">
      <w:pPr>
        <w:pStyle w:val="18"/>
        <w:spacing w:line="324" w:lineRule="auto"/>
        <w:ind w:left="2163" w:leftChars="607" w:right="120" w:rightChars="57" w:hanging="888" w:hangingChars="370"/>
        <w:jc w:val="both"/>
        <w:rPr>
          <w:rFonts w:hint="eastAsia" w:hAnsi="宋体" w:eastAsia="宋体" w:cs="Times New Roman"/>
          <w:color w:val="000000"/>
          <w:lang w:eastAsia="zh-CN"/>
        </w:rPr>
      </w:pPr>
      <w:r>
        <w:rPr>
          <w:rFonts w:hAnsi="宋体" w:cs="Arial"/>
          <w:color w:val="000000"/>
        </w:rPr>
        <w:t>(</w:t>
      </w:r>
      <w:r>
        <w:rPr>
          <w:rFonts w:hint="eastAsia" w:hAnsi="宋体"/>
          <w:color w:val="000000"/>
        </w:rPr>
        <w:t>三</w:t>
      </w:r>
      <w:r>
        <w:rPr>
          <w:rFonts w:hAnsi="宋体" w:cs="Arial"/>
          <w:color w:val="000000"/>
        </w:rPr>
        <w:t>)</w:t>
      </w:r>
      <w:r>
        <w:rPr>
          <w:rFonts w:hAnsi="宋体" w:cs="Times New Roman"/>
          <w:color w:val="000000"/>
        </w:rPr>
        <w:tab/>
      </w:r>
      <w:r>
        <w:rPr>
          <w:rFonts w:hint="eastAsia" w:hAnsi="宋体"/>
          <w:color w:val="000000"/>
          <w:lang w:val="en-US" w:eastAsia="zh-CN"/>
        </w:rPr>
        <w:t>董事长</w:t>
      </w:r>
    </w:p>
    <w:p w14:paraId="341A6B78">
      <w:pPr>
        <w:pStyle w:val="17"/>
        <w:tabs>
          <w:tab w:val="left" w:pos="2694"/>
        </w:tabs>
        <w:spacing w:line="324" w:lineRule="auto"/>
        <w:ind w:left="2692" w:leftChars="1012" w:hanging="567"/>
        <w:jc w:val="both"/>
        <w:rPr>
          <w:rFonts w:hAnsi="宋体" w:cs="Arial"/>
        </w:rPr>
      </w:pPr>
      <w:r>
        <w:rPr>
          <w:rFonts w:hAnsi="宋体" w:cs="Arial"/>
        </w:rPr>
        <w:t>1.</w:t>
      </w:r>
      <w:r>
        <w:rPr>
          <w:rFonts w:hAnsi="宋体" w:cs="Arial"/>
        </w:rPr>
        <w:tab/>
      </w:r>
      <w:r>
        <w:rPr>
          <w:rFonts w:hint="eastAsia" w:hAnsi="宋体"/>
        </w:rPr>
        <w:t>公司与其关联法人达成的关联交易金额在</w:t>
      </w:r>
      <w:r>
        <w:rPr>
          <w:rFonts w:hAnsi="宋体" w:cs="Arial"/>
        </w:rPr>
        <w:t>300</w:t>
      </w:r>
      <w:r>
        <w:rPr>
          <w:rFonts w:hint="eastAsia" w:hAnsi="宋体"/>
        </w:rPr>
        <w:t>万元以下或不超过公司最近一期经审计净资产值的</w:t>
      </w:r>
      <w:r>
        <w:rPr>
          <w:rFonts w:hAnsi="宋体" w:cs="Arial"/>
        </w:rPr>
        <w:t>0.5%</w:t>
      </w:r>
      <w:r>
        <w:rPr>
          <w:rFonts w:hint="eastAsia" w:hAnsi="宋体"/>
        </w:rPr>
        <w:t>的</w:t>
      </w:r>
      <w:r>
        <w:rPr>
          <w:rFonts w:hAnsi="宋体" w:cs="Arial"/>
        </w:rPr>
        <w:t xml:space="preserve">, </w:t>
      </w:r>
      <w:r>
        <w:rPr>
          <w:rFonts w:hint="eastAsia" w:hAnsi="宋体"/>
        </w:rPr>
        <w:t>由</w:t>
      </w:r>
      <w:r>
        <w:rPr>
          <w:rFonts w:hint="eastAsia" w:hAnsi="宋体"/>
          <w:lang w:val="en-US" w:eastAsia="zh-CN"/>
        </w:rPr>
        <w:t>董事长</w:t>
      </w:r>
      <w:r>
        <w:rPr>
          <w:rFonts w:hint="eastAsia" w:hAnsi="宋体"/>
        </w:rPr>
        <w:t>批准后实施</w:t>
      </w:r>
      <w:r>
        <w:rPr>
          <w:rFonts w:hAnsi="宋体" w:cs="Arial"/>
        </w:rPr>
        <w:t xml:space="preserve">; </w:t>
      </w:r>
    </w:p>
    <w:p w14:paraId="0A8491B1">
      <w:pPr>
        <w:pStyle w:val="17"/>
        <w:tabs>
          <w:tab w:val="left" w:pos="2694"/>
        </w:tabs>
        <w:spacing w:line="324" w:lineRule="auto"/>
        <w:ind w:left="2692" w:leftChars="1012" w:hanging="567"/>
        <w:jc w:val="both"/>
        <w:rPr>
          <w:rFonts w:hAnsi="宋体" w:cs="Times New Roman"/>
        </w:rPr>
      </w:pPr>
      <w:r>
        <w:rPr>
          <w:rFonts w:hAnsi="宋体" w:cs="Arial"/>
        </w:rPr>
        <w:t>2.</w:t>
      </w:r>
      <w:r>
        <w:rPr>
          <w:rFonts w:hAnsi="宋体" w:cs="Arial"/>
        </w:rPr>
        <w:tab/>
      </w:r>
      <w:r>
        <w:rPr>
          <w:rFonts w:hint="eastAsia" w:hAnsi="宋体"/>
        </w:rPr>
        <w:t>公司与其关联自然人达成的关联交易金额在</w:t>
      </w:r>
      <w:r>
        <w:rPr>
          <w:rFonts w:hint="eastAsia" w:hAnsi="宋体" w:cs="Arial"/>
        </w:rPr>
        <w:t>30</w:t>
      </w:r>
      <w:r>
        <w:rPr>
          <w:rFonts w:hint="eastAsia" w:hAnsi="宋体"/>
        </w:rPr>
        <w:t>万元以下(不含30万元)的</w:t>
      </w:r>
      <w:r>
        <w:rPr>
          <w:rFonts w:hAnsi="宋体" w:cs="Arial"/>
        </w:rPr>
        <w:t xml:space="preserve">, </w:t>
      </w:r>
      <w:r>
        <w:rPr>
          <w:rFonts w:hint="eastAsia" w:hAnsi="宋体"/>
        </w:rPr>
        <w:t>由</w:t>
      </w:r>
      <w:r>
        <w:rPr>
          <w:rFonts w:hint="eastAsia" w:hAnsi="宋体"/>
          <w:lang w:val="en-US" w:eastAsia="zh-CN"/>
        </w:rPr>
        <w:t>董事长</w:t>
      </w:r>
      <w:r>
        <w:rPr>
          <w:rFonts w:hint="eastAsia" w:hAnsi="宋体"/>
        </w:rPr>
        <w:t>批准后实施。</w:t>
      </w:r>
    </w:p>
    <w:p w14:paraId="3C73E942">
      <w:pPr>
        <w:pStyle w:val="17"/>
        <w:spacing w:line="324" w:lineRule="auto"/>
        <w:rPr>
          <w:rFonts w:hAnsi="宋体" w:cs="Times New Roman"/>
        </w:rPr>
      </w:pPr>
    </w:p>
    <w:p w14:paraId="25CC580E">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olor w:val="000000"/>
        </w:rPr>
        <w:t>重大关联交易</w:t>
      </w:r>
      <w:r>
        <w:rPr>
          <w:rFonts w:hAnsi="宋体" w:cs="Arial"/>
          <w:color w:val="000000"/>
        </w:rPr>
        <w:t xml:space="preserve">, </w:t>
      </w:r>
      <w:r>
        <w:rPr>
          <w:rFonts w:hint="eastAsia" w:hAnsi="宋体"/>
          <w:color w:val="000000"/>
        </w:rPr>
        <w:t>即关联交易金额高于</w:t>
      </w:r>
      <w:r>
        <w:rPr>
          <w:rFonts w:hAnsi="宋体" w:cs="Arial"/>
          <w:color w:val="000000"/>
        </w:rPr>
        <w:t>3000</w:t>
      </w:r>
      <w:r>
        <w:rPr>
          <w:rFonts w:hint="eastAsia" w:hAnsi="宋体"/>
          <w:color w:val="000000"/>
        </w:rPr>
        <w:t>万元</w:t>
      </w:r>
      <w:r>
        <w:rPr>
          <w:rFonts w:hAnsi="宋体" w:cs="Arial"/>
          <w:color w:val="000000"/>
        </w:rPr>
        <w:t>(</w:t>
      </w:r>
      <w:r>
        <w:rPr>
          <w:rFonts w:hint="eastAsia" w:hAnsi="宋体"/>
          <w:color w:val="000000"/>
        </w:rPr>
        <w:t>含</w:t>
      </w:r>
      <w:r>
        <w:rPr>
          <w:rFonts w:hAnsi="宋体" w:cs="Arial"/>
          <w:color w:val="000000"/>
        </w:rPr>
        <w:t>3000</w:t>
      </w:r>
      <w:r>
        <w:rPr>
          <w:rFonts w:hint="eastAsia" w:hAnsi="宋体"/>
          <w:color w:val="000000"/>
        </w:rPr>
        <w:t>万元</w:t>
      </w:r>
      <w:r>
        <w:rPr>
          <w:rFonts w:hAnsi="宋体" w:cs="Arial"/>
          <w:color w:val="000000"/>
        </w:rPr>
        <w:t>)</w:t>
      </w:r>
      <w:r>
        <w:rPr>
          <w:rFonts w:hint="eastAsia" w:hAnsi="宋体"/>
          <w:color w:val="000000"/>
        </w:rPr>
        <w:t>的且高于公司最近一期经审计净资产值</w:t>
      </w:r>
      <w:r>
        <w:rPr>
          <w:rFonts w:hAnsi="宋体" w:cs="Arial"/>
          <w:color w:val="000000"/>
        </w:rPr>
        <w:t>5%</w:t>
      </w:r>
      <w:r>
        <w:rPr>
          <w:rFonts w:hint="eastAsia" w:hAnsi="宋体"/>
          <w:color w:val="000000"/>
        </w:rPr>
        <w:t>以上</w:t>
      </w:r>
      <w:r>
        <w:rPr>
          <w:rFonts w:hAnsi="宋体" w:cs="Arial"/>
          <w:color w:val="000000"/>
        </w:rPr>
        <w:t xml:space="preserve">, </w:t>
      </w:r>
      <w:r>
        <w:rPr>
          <w:rFonts w:hint="eastAsia" w:hAnsi="宋体"/>
          <w:color w:val="000000"/>
        </w:rPr>
        <w:t>对于此类关联交易</w:t>
      </w:r>
      <w:r>
        <w:rPr>
          <w:rFonts w:hAnsi="宋体" w:cs="Arial"/>
          <w:color w:val="000000"/>
        </w:rPr>
        <w:t xml:space="preserve">, </w:t>
      </w:r>
      <w:r>
        <w:rPr>
          <w:rFonts w:hint="eastAsia" w:hAnsi="宋体"/>
          <w:color w:val="000000"/>
        </w:rPr>
        <w:t>公司董事会应当对该交易是否对公司有利发表意见</w:t>
      </w:r>
      <w:r>
        <w:rPr>
          <w:rFonts w:hAnsi="宋体" w:cs="Arial"/>
          <w:color w:val="000000"/>
        </w:rPr>
        <w:t xml:space="preserve">, </w:t>
      </w:r>
      <w:r>
        <w:rPr>
          <w:rFonts w:hint="eastAsia" w:hAnsi="宋体"/>
          <w:color w:val="000000"/>
        </w:rPr>
        <w:t>同时公司应当聘请具有执行证券、期货相关业务资格的中介机构</w:t>
      </w:r>
      <w:r>
        <w:rPr>
          <w:rFonts w:hAnsi="宋体" w:cs="Arial"/>
          <w:color w:val="000000"/>
        </w:rPr>
        <w:t xml:space="preserve">, </w:t>
      </w:r>
      <w:r>
        <w:rPr>
          <w:rFonts w:hint="eastAsia" w:hAnsi="宋体"/>
          <w:color w:val="000000"/>
        </w:rPr>
        <w:t>对交易标的进行评估或审计</w:t>
      </w:r>
      <w:r>
        <w:rPr>
          <w:rFonts w:hAnsi="宋体" w:cs="Arial"/>
          <w:color w:val="000000"/>
        </w:rPr>
        <w:t xml:space="preserve">, </w:t>
      </w:r>
      <w:r>
        <w:rPr>
          <w:rFonts w:hint="eastAsia" w:hAnsi="宋体"/>
          <w:color w:val="000000"/>
        </w:rPr>
        <w:t>并将该交易提交股东会审议。</w:t>
      </w:r>
    </w:p>
    <w:p w14:paraId="09F6A4EB">
      <w:pPr>
        <w:pStyle w:val="17"/>
        <w:spacing w:line="324" w:lineRule="auto"/>
        <w:rPr>
          <w:rFonts w:hAnsi="宋体" w:cs="Times New Roman"/>
        </w:rPr>
      </w:pPr>
    </w:p>
    <w:p w14:paraId="01868E21">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s="Times New Roman"/>
          <w:color w:val="000000"/>
        </w:rPr>
        <w:t>公司为关联人提供担保的, 除应当经全体非关联董事的过半数审议通过外, 还应当经出席董事会会议的非关联董事的三分之二以上董事审议同意并作出决议, 并提交股东会审议。公司为控股股东、实际控制人及其关联人提供担保的, 控股股东、实际控制人及其关联人应当提供反担保。</w:t>
      </w:r>
    </w:p>
    <w:p w14:paraId="4518D90E">
      <w:pPr>
        <w:pStyle w:val="18"/>
        <w:spacing w:line="324" w:lineRule="auto"/>
        <w:ind w:left="1276" w:right="120"/>
        <w:jc w:val="both"/>
      </w:pPr>
    </w:p>
    <w:p w14:paraId="3C1AD49B">
      <w:pPr>
        <w:pStyle w:val="18"/>
        <w:spacing w:line="324" w:lineRule="auto"/>
        <w:ind w:left="1276" w:right="120"/>
        <w:jc w:val="both"/>
      </w:pPr>
      <w:r>
        <w:rPr>
          <w:rFonts w:hint="eastAsia"/>
        </w:rPr>
        <w:t>公司因交易导致被担保方成为公司的关联人的, 在实施该交易或者关联交易的同时, 应当就存续的关联担保履行相应审议程序和信息披露义务。</w:t>
      </w:r>
    </w:p>
    <w:p w14:paraId="406BB4FA">
      <w:pPr>
        <w:pStyle w:val="17"/>
      </w:pPr>
    </w:p>
    <w:p w14:paraId="1B80F661">
      <w:pPr>
        <w:pStyle w:val="18"/>
        <w:spacing w:line="324" w:lineRule="auto"/>
        <w:ind w:left="1276" w:right="120"/>
        <w:jc w:val="both"/>
      </w:pPr>
      <w:r>
        <w:rPr>
          <w:rFonts w:hint="eastAsia"/>
        </w:rPr>
        <w:t>董事会或者股东会未审议通过前款规定的关联担保事项的, 交易各方应当采取提前终止担保等有效措施。</w:t>
      </w:r>
    </w:p>
    <w:p w14:paraId="619104B0">
      <w:pPr>
        <w:pStyle w:val="17"/>
      </w:pPr>
    </w:p>
    <w:p w14:paraId="06738E0B">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s="Times New Roman"/>
          <w:color w:val="000000"/>
        </w:rPr>
        <w:t>公司在连续12个月内发生的以下关联交易, 应当按照累计计算的原则适用本制度第十二条和第十三条的规定:</w:t>
      </w:r>
    </w:p>
    <w:p w14:paraId="237EA819">
      <w:pPr>
        <w:pStyle w:val="18"/>
        <w:spacing w:line="324" w:lineRule="auto"/>
        <w:ind w:left="1276" w:right="120"/>
        <w:jc w:val="both"/>
      </w:pPr>
      <w:r>
        <w:rPr>
          <w:rFonts w:hint="eastAsia"/>
        </w:rPr>
        <w:t>(一)</w:t>
      </w:r>
      <w:r>
        <w:rPr>
          <w:rFonts w:hint="eastAsia"/>
        </w:rPr>
        <w:tab/>
      </w:r>
      <w:r>
        <w:rPr>
          <w:rFonts w:hint="eastAsia"/>
        </w:rPr>
        <w:t>与同一关联人进行的交易;</w:t>
      </w:r>
    </w:p>
    <w:p w14:paraId="545BA32F">
      <w:pPr>
        <w:pStyle w:val="18"/>
        <w:spacing w:line="324" w:lineRule="auto"/>
        <w:ind w:left="1276" w:right="120"/>
        <w:jc w:val="both"/>
      </w:pPr>
      <w:r>
        <w:rPr>
          <w:rFonts w:hint="eastAsia"/>
        </w:rPr>
        <w:t>(二)</w:t>
      </w:r>
      <w:r>
        <w:rPr>
          <w:rFonts w:hint="eastAsia"/>
        </w:rPr>
        <w:tab/>
      </w:r>
      <w:r>
        <w:rPr>
          <w:rFonts w:hint="eastAsia"/>
        </w:rPr>
        <w:t>与不同关联人进行的与同一交易标的相关的交易。</w:t>
      </w:r>
    </w:p>
    <w:p w14:paraId="4C735693">
      <w:pPr>
        <w:pStyle w:val="18"/>
        <w:spacing w:line="324" w:lineRule="auto"/>
        <w:ind w:left="1276" w:right="120"/>
        <w:jc w:val="both"/>
      </w:pPr>
    </w:p>
    <w:p w14:paraId="13382B3B">
      <w:pPr>
        <w:pStyle w:val="18"/>
        <w:spacing w:line="324" w:lineRule="auto"/>
        <w:ind w:left="1276" w:right="120"/>
        <w:jc w:val="both"/>
      </w:pPr>
      <w:r>
        <w:rPr>
          <w:rFonts w:hint="eastAsia"/>
        </w:rPr>
        <w:t>上述同一关联人包括与该关联人受同一主体控制或者相互存在股权控制关系的其他关联人。已按照本制度第六条的规定履行相关义务的, 不再纳入相关的累计计算范围。</w:t>
      </w:r>
    </w:p>
    <w:p w14:paraId="4247B255">
      <w:pPr>
        <w:pStyle w:val="17"/>
      </w:pPr>
    </w:p>
    <w:p w14:paraId="32F96E22">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s="Times New Roman"/>
          <w:color w:val="000000"/>
        </w:rPr>
        <w:t>公司不得为本制度规定的关联人提供财务资助, 但向关联参股公司(不包括由公司控股股东、实际控制人控制的主体)提供财务资助, 且该参股公司的其他股东按出资比例提供同等条件财务资助的情形除外。</w:t>
      </w:r>
    </w:p>
    <w:p w14:paraId="30F3476F">
      <w:pPr>
        <w:pStyle w:val="18"/>
        <w:spacing w:line="324" w:lineRule="auto"/>
        <w:ind w:left="1276" w:right="120"/>
        <w:jc w:val="both"/>
      </w:pPr>
    </w:p>
    <w:p w14:paraId="10A0D414">
      <w:pPr>
        <w:pStyle w:val="18"/>
        <w:spacing w:line="324" w:lineRule="auto"/>
        <w:ind w:left="1276" w:right="120"/>
        <w:jc w:val="both"/>
      </w:pPr>
      <w:r>
        <w:rPr>
          <w:rFonts w:hint="eastAsia"/>
        </w:rPr>
        <w:t>公司向前款规定的关联参股公司提供财务资助的, 除应当经全体非关联董事的过半数审议通过外, 还应当经出席董事会会议的非关联董事的三分之二以上董事审议通过, 并提交股东会审议。</w:t>
      </w:r>
    </w:p>
    <w:p w14:paraId="7905E61C">
      <w:pPr>
        <w:pStyle w:val="18"/>
        <w:spacing w:line="324" w:lineRule="auto"/>
        <w:ind w:left="1276" w:right="120"/>
        <w:jc w:val="both"/>
      </w:pPr>
    </w:p>
    <w:p w14:paraId="6296E326">
      <w:pPr>
        <w:pStyle w:val="18"/>
        <w:spacing w:line="324" w:lineRule="auto"/>
        <w:ind w:left="1276" w:right="120"/>
        <w:jc w:val="both"/>
        <w:rPr>
          <w:rFonts w:hAnsi="宋体" w:cs="Times New Roman"/>
          <w:color w:val="000000"/>
        </w:rPr>
      </w:pPr>
      <w:r>
        <w:rPr>
          <w:rFonts w:hint="eastAsia"/>
        </w:rPr>
        <w:t>本条所称关联参股公司, 是指由公司参股且属于本制度第三条规定的公司的关联法人(或者其他组织)。</w:t>
      </w:r>
    </w:p>
    <w:p w14:paraId="51FA62AC">
      <w:pPr>
        <w:pStyle w:val="17"/>
      </w:pPr>
    </w:p>
    <w:p w14:paraId="65CD5BA7">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s="Times New Roman"/>
          <w:color w:val="000000"/>
        </w:rPr>
        <w:t>公司与关联人发生的下列交易, 应当按照规定履行关联交易信息披露义务及履行审议程序, 并可以向深圳证券交易所申请豁免按照本制度的规定提交股东会审议:</w:t>
      </w:r>
    </w:p>
    <w:p w14:paraId="1F94187F">
      <w:pPr>
        <w:pStyle w:val="18"/>
        <w:spacing w:line="324" w:lineRule="auto"/>
        <w:ind w:left="1276" w:right="120"/>
        <w:jc w:val="both"/>
      </w:pPr>
    </w:p>
    <w:p w14:paraId="48A22D81">
      <w:pPr>
        <w:pStyle w:val="18"/>
        <w:spacing w:line="324" w:lineRule="auto"/>
        <w:ind w:left="1276" w:right="120"/>
        <w:jc w:val="both"/>
      </w:pPr>
      <w:r>
        <w:rPr>
          <w:rFonts w:hint="eastAsia"/>
        </w:rPr>
        <w:t>(一)</w:t>
      </w:r>
      <w:r>
        <w:rPr>
          <w:rFonts w:hint="eastAsia"/>
        </w:rPr>
        <w:tab/>
      </w:r>
      <w:r>
        <w:rPr>
          <w:rFonts w:hint="eastAsia"/>
        </w:rPr>
        <w:t>面向不特定对象的公开招标、公开拍卖或者挂牌的(不含邀标等受限方式), 但招标、拍卖等难以形成公允价格的除外;</w:t>
      </w:r>
    </w:p>
    <w:p w14:paraId="16EB6D30">
      <w:pPr>
        <w:pStyle w:val="18"/>
        <w:spacing w:line="324" w:lineRule="auto"/>
        <w:ind w:left="1276" w:right="120"/>
        <w:jc w:val="both"/>
      </w:pPr>
      <w:r>
        <w:rPr>
          <w:rFonts w:hint="eastAsia"/>
        </w:rPr>
        <w:t>(二)</w:t>
      </w:r>
      <w:r>
        <w:rPr>
          <w:rFonts w:hint="eastAsia"/>
        </w:rPr>
        <w:tab/>
      </w:r>
      <w:r>
        <w:rPr>
          <w:rFonts w:hint="eastAsia"/>
        </w:rPr>
        <w:t>公司单方面获得利益且不支付对价、不附任何义务的交易, 包括受赠现金资产、获得债务减免等;</w:t>
      </w:r>
    </w:p>
    <w:p w14:paraId="71C757F2">
      <w:pPr>
        <w:pStyle w:val="18"/>
        <w:spacing w:line="324" w:lineRule="auto"/>
        <w:ind w:left="1276" w:right="120"/>
        <w:jc w:val="both"/>
      </w:pPr>
      <w:r>
        <w:rPr>
          <w:rFonts w:hint="eastAsia"/>
        </w:rPr>
        <w:t>(三)</w:t>
      </w:r>
      <w:r>
        <w:rPr>
          <w:rFonts w:hint="eastAsia"/>
        </w:rPr>
        <w:tab/>
      </w:r>
      <w:r>
        <w:rPr>
          <w:rFonts w:hint="eastAsia"/>
        </w:rPr>
        <w:t>关联交易定价由国家规定的;</w:t>
      </w:r>
    </w:p>
    <w:p w14:paraId="44CF2B1D">
      <w:pPr>
        <w:pStyle w:val="18"/>
        <w:spacing w:line="324" w:lineRule="auto"/>
        <w:ind w:left="1276" w:right="120"/>
        <w:jc w:val="both"/>
        <w:rPr>
          <w:rFonts w:hAnsi="宋体" w:cs="Times New Roman"/>
          <w:color w:val="000000"/>
        </w:rPr>
      </w:pPr>
      <w:r>
        <w:rPr>
          <w:rFonts w:hint="eastAsia"/>
        </w:rPr>
        <w:t>(四)</w:t>
      </w:r>
      <w:r>
        <w:rPr>
          <w:rFonts w:hint="eastAsia"/>
        </w:rPr>
        <w:tab/>
      </w:r>
      <w:r>
        <w:rPr>
          <w:rFonts w:hint="eastAsia"/>
        </w:rPr>
        <w:t>关联人向公司提供资金, 利率不高于贷款市场报价利率, 且公司无相应担保。</w:t>
      </w:r>
    </w:p>
    <w:p w14:paraId="66A83104">
      <w:pPr>
        <w:pStyle w:val="17"/>
      </w:pPr>
    </w:p>
    <w:p w14:paraId="30796FC6">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s="Times New Roman"/>
          <w:color w:val="000000"/>
        </w:rPr>
        <w:t>公司与关联人达成以下关联交易时,可以免予按照相关规定履行涉及关联交易的相关审批、披露义务:</w:t>
      </w:r>
    </w:p>
    <w:p w14:paraId="6BB28B2A">
      <w:pPr>
        <w:pStyle w:val="18"/>
        <w:spacing w:line="324" w:lineRule="auto"/>
        <w:ind w:left="1276" w:right="120"/>
        <w:jc w:val="both"/>
      </w:pPr>
    </w:p>
    <w:p w14:paraId="624BF86A">
      <w:pPr>
        <w:pStyle w:val="18"/>
        <w:spacing w:line="324" w:lineRule="auto"/>
        <w:ind w:left="1276" w:right="120"/>
        <w:jc w:val="both"/>
      </w:pPr>
      <w:r>
        <w:rPr>
          <w:rFonts w:hint="eastAsia"/>
        </w:rPr>
        <w:t>(一)</w:t>
      </w:r>
      <w:r>
        <w:rPr>
          <w:rFonts w:hint="eastAsia"/>
        </w:rPr>
        <w:tab/>
      </w:r>
      <w:r>
        <w:rPr>
          <w:rFonts w:hint="eastAsia"/>
        </w:rPr>
        <w:t>一方以现金方式认购另一方公开发行的股票及其衍生品种、公司债券或者企业债券, 但提前确定的发行对象包含关联人的除外;</w:t>
      </w:r>
    </w:p>
    <w:p w14:paraId="68302B1F">
      <w:pPr>
        <w:pStyle w:val="18"/>
        <w:spacing w:line="324" w:lineRule="auto"/>
        <w:ind w:left="1276" w:right="120"/>
        <w:jc w:val="both"/>
      </w:pPr>
      <w:r>
        <w:rPr>
          <w:rFonts w:hint="eastAsia"/>
        </w:rPr>
        <w:t>(二)</w:t>
      </w:r>
      <w:r>
        <w:rPr>
          <w:rFonts w:hint="eastAsia"/>
        </w:rPr>
        <w:tab/>
      </w:r>
      <w:r>
        <w:rPr>
          <w:rFonts w:hint="eastAsia"/>
        </w:rPr>
        <w:t>一方作为承销团成员承销另一方公开发行的股票及其衍生品种、公司债券或者企业债券;</w:t>
      </w:r>
    </w:p>
    <w:p w14:paraId="2467E46E">
      <w:pPr>
        <w:pStyle w:val="18"/>
        <w:spacing w:line="324" w:lineRule="auto"/>
        <w:ind w:left="1276" w:right="120"/>
        <w:jc w:val="both"/>
      </w:pPr>
      <w:r>
        <w:rPr>
          <w:rFonts w:hint="eastAsia"/>
        </w:rPr>
        <w:t>(三)</w:t>
      </w:r>
      <w:r>
        <w:rPr>
          <w:rFonts w:hint="eastAsia"/>
        </w:rPr>
        <w:tab/>
      </w:r>
      <w:r>
        <w:rPr>
          <w:rFonts w:hint="eastAsia"/>
        </w:rPr>
        <w:t>一方根据另一方股东会决议领取股息、红利或者报酬;</w:t>
      </w:r>
    </w:p>
    <w:p w14:paraId="576608DC">
      <w:pPr>
        <w:pStyle w:val="18"/>
        <w:spacing w:line="324" w:lineRule="auto"/>
        <w:ind w:left="1276" w:right="120"/>
        <w:jc w:val="both"/>
      </w:pPr>
      <w:r>
        <w:rPr>
          <w:rFonts w:hint="eastAsia"/>
        </w:rPr>
        <w:t>(四)</w:t>
      </w:r>
      <w:r>
        <w:rPr>
          <w:rFonts w:hint="eastAsia"/>
        </w:rPr>
        <w:tab/>
      </w:r>
      <w:r>
        <w:rPr>
          <w:rFonts w:hint="eastAsia"/>
        </w:rPr>
        <w:t>公司按与非关联人同等交易条件, 向本制度第三条第三款第(二)项至第(四)项规定的关联自然人提供产品和服务;</w:t>
      </w:r>
    </w:p>
    <w:p w14:paraId="20CD9082">
      <w:pPr>
        <w:pStyle w:val="18"/>
        <w:spacing w:line="324" w:lineRule="auto"/>
        <w:ind w:left="1276" w:right="120"/>
        <w:jc w:val="both"/>
        <w:rPr>
          <w:rFonts w:hAnsi="宋体" w:cs="Times New Roman"/>
          <w:color w:val="000000"/>
        </w:rPr>
      </w:pPr>
      <w:r>
        <w:rPr>
          <w:rFonts w:hint="eastAsia"/>
        </w:rPr>
        <w:t>(五)</w:t>
      </w:r>
      <w:r>
        <w:rPr>
          <w:rFonts w:hint="eastAsia"/>
        </w:rPr>
        <w:tab/>
      </w:r>
      <w:r>
        <w:rPr>
          <w:rFonts w:hint="eastAsia"/>
          <w:lang w:val="en-US" w:eastAsia="zh-CN"/>
        </w:rPr>
        <w:t>深圳</w:t>
      </w:r>
      <w:r>
        <w:rPr>
          <w:rFonts w:hint="eastAsia"/>
        </w:rPr>
        <w:t>证券交易所认定的其他情况。</w:t>
      </w:r>
      <w:bookmarkStart w:id="0" w:name="_GoBack"/>
      <w:bookmarkEnd w:id="0"/>
    </w:p>
    <w:p w14:paraId="64CFBFC2">
      <w:pPr>
        <w:pStyle w:val="17"/>
      </w:pPr>
    </w:p>
    <w:p w14:paraId="7357A122">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olor w:val="000000"/>
        </w:rPr>
        <w:t>公司以及有关职能部门在其经营管理过程中</w:t>
      </w:r>
      <w:r>
        <w:rPr>
          <w:rFonts w:hAnsi="宋体" w:cs="Arial"/>
          <w:color w:val="000000"/>
        </w:rPr>
        <w:t xml:space="preserve">, </w:t>
      </w:r>
      <w:r>
        <w:rPr>
          <w:rFonts w:hint="eastAsia" w:hAnsi="宋体"/>
          <w:color w:val="000000"/>
        </w:rPr>
        <w:t>如遇到按本制度规定确定为公司与关联方之间关联交易情况的</w:t>
      </w:r>
      <w:r>
        <w:rPr>
          <w:rFonts w:hAnsi="宋体" w:cs="Arial"/>
          <w:color w:val="000000"/>
        </w:rPr>
        <w:t xml:space="preserve">, </w:t>
      </w:r>
      <w:r>
        <w:rPr>
          <w:rFonts w:hint="eastAsia" w:hAnsi="宋体"/>
          <w:color w:val="000000"/>
        </w:rPr>
        <w:t>相关部门须将有关关联交易情况以书面形式报告公司总经理</w:t>
      </w:r>
      <w:r>
        <w:rPr>
          <w:rFonts w:hAnsi="宋体" w:cs="Arial"/>
          <w:color w:val="000000"/>
        </w:rPr>
        <w:t xml:space="preserve">; </w:t>
      </w:r>
      <w:r>
        <w:rPr>
          <w:rFonts w:hint="eastAsia" w:hAnsi="宋体"/>
          <w:color w:val="000000"/>
        </w:rPr>
        <w:t>该书面报告须包括以下内容</w:t>
      </w:r>
      <w:r>
        <w:rPr>
          <w:rFonts w:hAnsi="宋体" w:cs="Arial"/>
          <w:color w:val="000000"/>
        </w:rPr>
        <w:t xml:space="preserve">: </w:t>
      </w:r>
    </w:p>
    <w:p w14:paraId="1613779E">
      <w:pPr>
        <w:pStyle w:val="18"/>
        <w:spacing w:line="312" w:lineRule="auto"/>
        <w:ind w:left="2163" w:leftChars="607" w:right="120" w:rightChars="57" w:hanging="888" w:hangingChars="370"/>
        <w:rPr>
          <w:rFonts w:hAnsi="宋体" w:cs="Arial"/>
          <w:color w:val="000000"/>
        </w:rPr>
      </w:pPr>
      <w:r>
        <w:rPr>
          <w:rFonts w:hAnsi="宋体" w:cs="Arial"/>
          <w:color w:val="000000"/>
        </w:rPr>
        <w:t>(</w:t>
      </w:r>
      <w:r>
        <w:rPr>
          <w:rFonts w:hint="eastAsia" w:hAnsi="宋体"/>
          <w:color w:val="000000"/>
        </w:rPr>
        <w:t>一</w:t>
      </w:r>
      <w:r>
        <w:rPr>
          <w:rFonts w:hAnsi="宋体" w:cs="Arial"/>
          <w:color w:val="000000"/>
        </w:rPr>
        <w:t>)</w:t>
      </w:r>
      <w:r>
        <w:rPr>
          <w:rFonts w:hAnsi="宋体" w:cs="Times New Roman"/>
          <w:color w:val="000000"/>
        </w:rPr>
        <w:tab/>
      </w:r>
      <w:r>
        <w:rPr>
          <w:rFonts w:hint="eastAsia" w:hAnsi="宋体"/>
          <w:color w:val="000000"/>
        </w:rPr>
        <w:t>关联交易方的名称、住所</w:t>
      </w:r>
      <w:r>
        <w:rPr>
          <w:rFonts w:hAnsi="宋体" w:cs="Arial"/>
          <w:color w:val="000000"/>
        </w:rPr>
        <w:t xml:space="preserve">; </w:t>
      </w:r>
    </w:p>
    <w:p w14:paraId="7A7E1A6A">
      <w:pPr>
        <w:pStyle w:val="18"/>
        <w:spacing w:line="312" w:lineRule="auto"/>
        <w:ind w:left="2163" w:leftChars="607" w:right="120" w:rightChars="57" w:hanging="888" w:hangingChars="370"/>
        <w:rPr>
          <w:rFonts w:hAnsi="宋体" w:cs="Arial"/>
          <w:color w:val="000000"/>
        </w:rPr>
      </w:pPr>
      <w:r>
        <w:rPr>
          <w:rFonts w:hAnsi="宋体" w:cs="Arial"/>
          <w:color w:val="000000"/>
        </w:rPr>
        <w:t>(</w:t>
      </w:r>
      <w:r>
        <w:rPr>
          <w:rFonts w:hint="eastAsia" w:hAnsi="宋体"/>
          <w:color w:val="000000"/>
        </w:rPr>
        <w:t>二</w:t>
      </w:r>
      <w:r>
        <w:rPr>
          <w:rFonts w:hAnsi="宋体" w:cs="Arial"/>
          <w:color w:val="000000"/>
        </w:rPr>
        <w:t>)</w:t>
      </w:r>
      <w:r>
        <w:rPr>
          <w:rFonts w:hAnsi="宋体" w:cs="Times New Roman"/>
          <w:color w:val="000000"/>
        </w:rPr>
        <w:tab/>
      </w:r>
      <w:r>
        <w:rPr>
          <w:rFonts w:hint="eastAsia" w:hAnsi="宋体"/>
          <w:color w:val="000000"/>
        </w:rPr>
        <w:t>具体关联交易的项目以及交易金额</w:t>
      </w:r>
      <w:r>
        <w:rPr>
          <w:rFonts w:hAnsi="宋体" w:cs="Arial"/>
          <w:color w:val="000000"/>
        </w:rPr>
        <w:t xml:space="preserve">; </w:t>
      </w:r>
    </w:p>
    <w:p w14:paraId="04BA7016">
      <w:pPr>
        <w:pStyle w:val="18"/>
        <w:spacing w:line="312" w:lineRule="auto"/>
        <w:ind w:left="2163" w:leftChars="607" w:right="120" w:rightChars="57" w:hanging="888" w:hangingChars="370"/>
        <w:rPr>
          <w:rFonts w:hAnsi="宋体" w:cs="Arial"/>
          <w:color w:val="000000"/>
        </w:rPr>
      </w:pPr>
      <w:r>
        <w:rPr>
          <w:rFonts w:hAnsi="宋体" w:cs="Arial"/>
          <w:color w:val="000000"/>
        </w:rPr>
        <w:t>(</w:t>
      </w:r>
      <w:r>
        <w:rPr>
          <w:rFonts w:hint="eastAsia" w:hAnsi="宋体"/>
          <w:color w:val="000000"/>
        </w:rPr>
        <w:t>三</w:t>
      </w:r>
      <w:r>
        <w:rPr>
          <w:rFonts w:hAnsi="宋体" w:cs="Arial"/>
          <w:color w:val="000000"/>
        </w:rPr>
        <w:t>)</w:t>
      </w:r>
      <w:r>
        <w:rPr>
          <w:rFonts w:hAnsi="宋体" w:cs="Times New Roman"/>
          <w:color w:val="000000"/>
        </w:rPr>
        <w:tab/>
      </w:r>
      <w:r>
        <w:rPr>
          <w:rFonts w:hint="eastAsia" w:hAnsi="宋体"/>
          <w:color w:val="000000"/>
        </w:rPr>
        <w:t>确定关联交易价格的原则与定价依据</w:t>
      </w:r>
      <w:r>
        <w:rPr>
          <w:rFonts w:hAnsi="宋体" w:cs="Arial"/>
          <w:color w:val="000000"/>
        </w:rPr>
        <w:t xml:space="preserve">; </w:t>
      </w:r>
    </w:p>
    <w:p w14:paraId="7F0E1146">
      <w:pPr>
        <w:pStyle w:val="18"/>
        <w:spacing w:line="312" w:lineRule="auto"/>
        <w:ind w:left="2163" w:leftChars="607" w:right="120" w:rightChars="57" w:hanging="888" w:hangingChars="370"/>
        <w:rPr>
          <w:rFonts w:hAnsi="宋体" w:cs="Times New Roman"/>
          <w:color w:val="000000"/>
        </w:rPr>
      </w:pPr>
      <w:r>
        <w:rPr>
          <w:rFonts w:hAnsi="宋体" w:cs="Arial"/>
          <w:color w:val="000000"/>
        </w:rPr>
        <w:t>(</w:t>
      </w:r>
      <w:r>
        <w:rPr>
          <w:rFonts w:hint="eastAsia" w:hAnsi="宋体"/>
          <w:color w:val="000000"/>
        </w:rPr>
        <w:t>四</w:t>
      </w:r>
      <w:r>
        <w:rPr>
          <w:rFonts w:hAnsi="宋体" w:cs="Arial"/>
          <w:color w:val="000000"/>
        </w:rPr>
        <w:t>)</w:t>
      </w:r>
      <w:r>
        <w:rPr>
          <w:rFonts w:hAnsi="宋体" w:cs="Times New Roman"/>
          <w:color w:val="000000"/>
        </w:rPr>
        <w:tab/>
      </w:r>
      <w:r>
        <w:rPr>
          <w:rFonts w:hint="eastAsia" w:hAnsi="宋体"/>
          <w:color w:val="000000"/>
        </w:rPr>
        <w:t>须载明的其他事项。</w:t>
      </w:r>
    </w:p>
    <w:p w14:paraId="24144EF8">
      <w:pPr>
        <w:pStyle w:val="17"/>
        <w:spacing w:line="312" w:lineRule="auto"/>
        <w:rPr>
          <w:rFonts w:hAnsi="宋体" w:cs="Times New Roman"/>
        </w:rPr>
      </w:pPr>
    </w:p>
    <w:p w14:paraId="19552F37">
      <w:pPr>
        <w:pStyle w:val="18"/>
        <w:numPr>
          <w:ilvl w:val="0"/>
          <w:numId w:val="1"/>
        </w:numPr>
        <w:tabs>
          <w:tab w:val="left" w:pos="1276"/>
          <w:tab w:val="clear" w:pos="1455"/>
        </w:tabs>
        <w:spacing w:line="312" w:lineRule="auto"/>
        <w:ind w:left="1276" w:right="120" w:hanging="1276"/>
        <w:jc w:val="both"/>
        <w:rPr>
          <w:rFonts w:hAnsi="宋体" w:cs="Times New Roman"/>
          <w:color w:val="000000"/>
        </w:rPr>
      </w:pPr>
      <w:r>
        <w:rPr>
          <w:rFonts w:hint="eastAsia" w:hAnsi="宋体"/>
          <w:color w:val="000000"/>
        </w:rPr>
        <w:t>公司总经理在收到有关职能部门的书面报告后</w:t>
      </w:r>
      <w:r>
        <w:rPr>
          <w:rFonts w:hAnsi="宋体" w:cs="Arial"/>
          <w:color w:val="000000"/>
        </w:rPr>
        <w:t xml:space="preserve">, </w:t>
      </w:r>
      <w:r>
        <w:rPr>
          <w:rFonts w:hint="eastAsia" w:hAnsi="宋体"/>
          <w:color w:val="000000"/>
        </w:rPr>
        <w:t>应召集有关人员进行专题研究</w:t>
      </w:r>
      <w:r>
        <w:rPr>
          <w:rFonts w:hAnsi="宋体" w:cs="Arial"/>
          <w:color w:val="000000"/>
        </w:rPr>
        <w:t xml:space="preserve">, </w:t>
      </w:r>
      <w:r>
        <w:rPr>
          <w:rFonts w:hint="eastAsia" w:hAnsi="宋体"/>
          <w:color w:val="000000"/>
        </w:rPr>
        <w:t>按本制度规定对将发生之关联交易的必要性、合理性、定价的公平性进行初步审查</w:t>
      </w:r>
      <w:r>
        <w:rPr>
          <w:rFonts w:hAnsi="宋体" w:cs="Arial"/>
          <w:color w:val="000000"/>
        </w:rPr>
        <w:t xml:space="preserve">; </w:t>
      </w:r>
      <w:r>
        <w:rPr>
          <w:rFonts w:hint="eastAsia" w:hAnsi="宋体"/>
          <w:color w:val="000000"/>
        </w:rPr>
        <w:t>初审认为必须发生关联交易的</w:t>
      </w:r>
      <w:r>
        <w:rPr>
          <w:rFonts w:hAnsi="宋体" w:cs="Arial"/>
          <w:color w:val="000000"/>
        </w:rPr>
        <w:t xml:space="preserve">, </w:t>
      </w:r>
      <w:r>
        <w:rPr>
          <w:rFonts w:hint="eastAsia" w:hAnsi="宋体"/>
          <w:color w:val="000000"/>
        </w:rPr>
        <w:t>总经理须责成有关职能部门草拟关联交易协议</w:t>
      </w:r>
      <w:r>
        <w:rPr>
          <w:rFonts w:hAnsi="宋体" w:cs="Arial"/>
          <w:color w:val="000000"/>
        </w:rPr>
        <w:t>(</w:t>
      </w:r>
      <w:r>
        <w:rPr>
          <w:rFonts w:hint="eastAsia" w:hAnsi="宋体"/>
          <w:color w:val="000000"/>
        </w:rPr>
        <w:t>合同</w:t>
      </w:r>
      <w:r>
        <w:rPr>
          <w:rFonts w:hAnsi="宋体" w:cs="Arial"/>
          <w:color w:val="000000"/>
        </w:rPr>
        <w:t xml:space="preserve">), </w:t>
      </w:r>
      <w:r>
        <w:rPr>
          <w:rFonts w:hint="eastAsia" w:hAnsi="宋体"/>
          <w:color w:val="000000"/>
        </w:rPr>
        <w:t>并将关联交易的具体内容根据不同情况及时书面报告公司董事长或董事会。</w:t>
      </w:r>
    </w:p>
    <w:p w14:paraId="32CB322C">
      <w:pPr>
        <w:pStyle w:val="17"/>
        <w:spacing w:line="312" w:lineRule="auto"/>
        <w:rPr>
          <w:rFonts w:hAnsi="宋体" w:cs="Times New Roman"/>
        </w:rPr>
      </w:pPr>
    </w:p>
    <w:p w14:paraId="5E29D9A4">
      <w:pPr>
        <w:pStyle w:val="18"/>
        <w:numPr>
          <w:ilvl w:val="0"/>
          <w:numId w:val="1"/>
        </w:numPr>
        <w:tabs>
          <w:tab w:val="left" w:pos="1276"/>
          <w:tab w:val="clear" w:pos="1455"/>
        </w:tabs>
        <w:spacing w:line="312" w:lineRule="auto"/>
        <w:ind w:left="1276" w:right="120" w:hanging="1276"/>
        <w:rPr>
          <w:rFonts w:hAnsi="宋体" w:cs="Times New Roman"/>
          <w:color w:val="000000"/>
        </w:rPr>
      </w:pPr>
      <w:r>
        <w:rPr>
          <w:rFonts w:hint="eastAsia" w:hAnsi="宋体"/>
          <w:color w:val="000000"/>
        </w:rPr>
        <w:t>公司董事会在收到总经理报告后</w:t>
      </w:r>
      <w:r>
        <w:rPr>
          <w:rFonts w:hAnsi="宋体" w:cs="Arial"/>
          <w:color w:val="000000"/>
        </w:rPr>
        <w:t xml:space="preserve">, </w:t>
      </w:r>
      <w:r>
        <w:rPr>
          <w:rFonts w:hint="eastAsia" w:hAnsi="宋体"/>
          <w:color w:val="000000"/>
        </w:rPr>
        <w:t>向公司全体董事发出召开董事会会议通知。</w:t>
      </w:r>
    </w:p>
    <w:p w14:paraId="0B0441BF">
      <w:pPr>
        <w:pStyle w:val="17"/>
        <w:spacing w:line="312" w:lineRule="auto"/>
        <w:rPr>
          <w:rFonts w:hAnsi="宋体" w:cs="Times New Roman"/>
        </w:rPr>
      </w:pPr>
    </w:p>
    <w:p w14:paraId="1E37CF07">
      <w:pPr>
        <w:pStyle w:val="18"/>
        <w:numPr>
          <w:ilvl w:val="0"/>
          <w:numId w:val="1"/>
        </w:numPr>
        <w:tabs>
          <w:tab w:val="left" w:pos="1276"/>
          <w:tab w:val="clear" w:pos="1455"/>
        </w:tabs>
        <w:spacing w:line="312" w:lineRule="auto"/>
        <w:ind w:left="1276" w:right="120" w:hanging="1276"/>
        <w:jc w:val="both"/>
        <w:rPr>
          <w:rFonts w:hAnsi="宋体" w:cs="Times New Roman"/>
          <w:color w:val="000000"/>
        </w:rPr>
      </w:pPr>
      <w:r>
        <w:rPr>
          <w:rFonts w:hint="eastAsia" w:hAnsi="宋体"/>
          <w:color w:val="000000"/>
        </w:rPr>
        <w:t>董事会会议应对有关关联交易的必要性和合理性进行审查与讨论。出席会议董事可以要求公司总经理说明其是否已经积极在市场中就该项交易寻找与第三方进行</w:t>
      </w:r>
      <w:r>
        <w:rPr>
          <w:rFonts w:hAnsi="宋体" w:cs="Arial"/>
          <w:color w:val="000000"/>
        </w:rPr>
        <w:t xml:space="preserve">, </w:t>
      </w:r>
      <w:r>
        <w:rPr>
          <w:rFonts w:hint="eastAsia" w:hAnsi="宋体"/>
          <w:color w:val="000000"/>
        </w:rPr>
        <w:t>从而以替代与关联方发生交易</w:t>
      </w:r>
      <w:r>
        <w:rPr>
          <w:rFonts w:hAnsi="宋体" w:cs="Arial"/>
          <w:color w:val="000000"/>
        </w:rPr>
        <w:t xml:space="preserve">; </w:t>
      </w:r>
      <w:r>
        <w:rPr>
          <w:rFonts w:hint="eastAsia" w:hAnsi="宋体"/>
          <w:color w:val="000000"/>
        </w:rPr>
        <w:t>总经理应对有关结果向董事会做出解释。当确定无法寻求与第三方交易以替代该项关联交易时</w:t>
      </w:r>
      <w:r>
        <w:rPr>
          <w:rFonts w:hAnsi="宋体" w:cs="Arial"/>
          <w:color w:val="000000"/>
        </w:rPr>
        <w:t xml:space="preserve">, </w:t>
      </w:r>
      <w:r>
        <w:rPr>
          <w:rFonts w:hint="eastAsia" w:hAnsi="宋体"/>
          <w:color w:val="000000"/>
        </w:rPr>
        <w:t>董事会应确认该项关联交易具有必要性。</w:t>
      </w:r>
    </w:p>
    <w:p w14:paraId="6E9B9925">
      <w:pPr>
        <w:pStyle w:val="17"/>
        <w:spacing w:line="312" w:lineRule="auto"/>
        <w:rPr>
          <w:rFonts w:hAnsi="宋体" w:cs="Times New Roman"/>
        </w:rPr>
      </w:pPr>
    </w:p>
    <w:p w14:paraId="67D52269">
      <w:pPr>
        <w:pStyle w:val="19"/>
        <w:spacing w:line="312" w:lineRule="auto"/>
        <w:ind w:firstLine="1276"/>
        <w:jc w:val="both"/>
        <w:rPr>
          <w:rFonts w:hAnsi="宋体" w:cs="Times New Roman"/>
          <w:color w:val="000000"/>
        </w:rPr>
      </w:pPr>
      <w:r>
        <w:rPr>
          <w:rFonts w:hint="eastAsia" w:hAnsi="宋体"/>
          <w:color w:val="000000"/>
        </w:rPr>
        <w:t>董事会在审查有关关联交易的合理性时</w:t>
      </w:r>
      <w:r>
        <w:rPr>
          <w:rFonts w:hAnsi="宋体" w:cs="Arial"/>
          <w:color w:val="000000"/>
        </w:rPr>
        <w:t xml:space="preserve">, </w:t>
      </w:r>
      <w:r>
        <w:rPr>
          <w:rFonts w:hint="eastAsia" w:hAnsi="宋体"/>
          <w:color w:val="000000"/>
        </w:rPr>
        <w:t>须考虑以下因素</w:t>
      </w:r>
      <w:r>
        <w:rPr>
          <w:rFonts w:hAnsi="宋体" w:cs="Arial"/>
          <w:color w:val="000000"/>
        </w:rPr>
        <w:t xml:space="preserve">: </w:t>
      </w:r>
    </w:p>
    <w:p w14:paraId="0010D3DF">
      <w:pPr>
        <w:pStyle w:val="17"/>
        <w:spacing w:line="312" w:lineRule="auto"/>
        <w:rPr>
          <w:rFonts w:hAnsi="宋体" w:cs="Times New Roman"/>
        </w:rPr>
      </w:pPr>
    </w:p>
    <w:p w14:paraId="0821BA03">
      <w:pPr>
        <w:pStyle w:val="18"/>
        <w:spacing w:line="324" w:lineRule="auto"/>
        <w:ind w:left="1276" w:right="120"/>
        <w:jc w:val="both"/>
      </w:pPr>
      <w:r>
        <w:rPr>
          <w:rFonts w:hint="eastAsia"/>
        </w:rPr>
        <w:t>(一)</w:t>
      </w:r>
      <w:r>
        <w:rPr>
          <w:rFonts w:hint="eastAsia"/>
        </w:rPr>
        <w:tab/>
      </w:r>
      <w:r>
        <w:rPr>
          <w:rFonts w:hint="eastAsia"/>
        </w:rPr>
        <w:t>该项关联交易的标的如属于关联方外购产品时, 则必须调查公司能否自行购买或独立销售。当公司不具备采购或销售渠道或若自行采购或销售可能无法获得有关优惠待遇的; 或若公司向关联方购买或销售可降低公司生产、采购或销售成本的, 董事会应确认该项关联交易存在具有合理性。但该项关联交易价格须按关联方的采购价加上分担部分合理的采购成本确定。</w:t>
      </w:r>
    </w:p>
    <w:p w14:paraId="0221E524">
      <w:pPr>
        <w:pStyle w:val="18"/>
        <w:spacing w:line="324" w:lineRule="auto"/>
        <w:ind w:left="1276" w:right="120"/>
        <w:jc w:val="both"/>
      </w:pPr>
      <w:r>
        <w:rPr>
          <w:rFonts w:hint="eastAsia"/>
        </w:rPr>
        <w:t>(二)</w:t>
      </w:r>
      <w:r>
        <w:rPr>
          <w:rFonts w:hint="eastAsia"/>
        </w:rPr>
        <w:tab/>
      </w:r>
      <w:r>
        <w:rPr>
          <w:rFonts w:hint="eastAsia"/>
        </w:rPr>
        <w:t>该项关联交易的标的如属于关联方自产产品, 则该项关联交易的价格按关联方生产产品的成本加合理的利润确定交易的成本价。</w:t>
      </w:r>
    </w:p>
    <w:p w14:paraId="5161AF55">
      <w:pPr>
        <w:pStyle w:val="18"/>
        <w:spacing w:line="324" w:lineRule="auto"/>
        <w:ind w:left="1276" w:right="120"/>
        <w:jc w:val="both"/>
      </w:pPr>
      <w:r>
        <w:rPr>
          <w:rFonts w:hint="eastAsia"/>
        </w:rPr>
        <w:t>(三)</w:t>
      </w:r>
      <w:r>
        <w:rPr>
          <w:rFonts w:hint="eastAsia"/>
        </w:rPr>
        <w:tab/>
      </w:r>
      <w:r>
        <w:rPr>
          <w:rFonts w:hint="eastAsia"/>
        </w:rPr>
        <w:t>如该项关联交易属于提供或接受劳务、代理、租赁、抵押和担保、管理、研究和开发、许可等项目, 则公司必须取得或要求关联方提供确定交易价格的合法、有效的依据, 作为该项关联交易的价格依据。</w:t>
      </w:r>
    </w:p>
    <w:p w14:paraId="61691CE8">
      <w:pPr>
        <w:pStyle w:val="17"/>
        <w:spacing w:line="312" w:lineRule="auto"/>
        <w:rPr>
          <w:rFonts w:hAnsi="宋体" w:cs="Times New Roman"/>
        </w:rPr>
      </w:pPr>
    </w:p>
    <w:p w14:paraId="3C58C298">
      <w:pPr>
        <w:pStyle w:val="18"/>
        <w:numPr>
          <w:ilvl w:val="0"/>
          <w:numId w:val="1"/>
        </w:numPr>
        <w:tabs>
          <w:tab w:val="left" w:pos="1276"/>
          <w:tab w:val="clear" w:pos="1455"/>
        </w:tabs>
        <w:spacing w:line="300" w:lineRule="auto"/>
        <w:ind w:left="1276" w:right="120" w:hanging="1276"/>
        <w:jc w:val="both"/>
        <w:rPr>
          <w:rFonts w:ascii="Arial" w:hAnsi="宋体" w:cs="Arial"/>
          <w:color w:val="000000"/>
          <w:sz w:val="23"/>
          <w:szCs w:val="23"/>
        </w:rPr>
      </w:pPr>
      <w:r>
        <w:rPr>
          <w:rFonts w:hint="eastAsia" w:hAnsi="宋体"/>
          <w:color w:val="000000"/>
        </w:rPr>
        <w:t>公司董事会审议关联交易事项时</w:t>
      </w:r>
      <w:r>
        <w:rPr>
          <w:rFonts w:hAnsi="宋体" w:cs="Arial"/>
          <w:color w:val="000000"/>
        </w:rPr>
        <w:t xml:space="preserve">, </w:t>
      </w:r>
      <w:r>
        <w:rPr>
          <w:rFonts w:hint="eastAsia" w:hAnsi="宋体"/>
          <w:color w:val="000000"/>
        </w:rPr>
        <w:t>关联董事须回避表决</w:t>
      </w:r>
      <w:r>
        <w:rPr>
          <w:rFonts w:hAnsi="宋体" w:cs="Arial"/>
          <w:color w:val="000000"/>
        </w:rPr>
        <w:t xml:space="preserve">, </w:t>
      </w:r>
      <w:r>
        <w:rPr>
          <w:rFonts w:hint="eastAsia" w:hAnsi="宋体"/>
          <w:color w:val="000000"/>
        </w:rPr>
        <w:t>也不得代理其他董事行使表决权。</w:t>
      </w:r>
      <w:r>
        <w:rPr>
          <w:rFonts w:ascii="Arial" w:hAnsi="宋体" w:cs="Arial"/>
          <w:color w:val="000000"/>
          <w:sz w:val="23"/>
          <w:szCs w:val="23"/>
        </w:rPr>
        <w:t>该董事会会议由过半数的非关联董事出席即可举行, 董事会会议所做决议须经非关联董事过半数通过。出席董事会的非关联董事人数不足三人的, 公司应当将该交易提交股东会审议。关联董事包括下列董事或者具有下列情形之一的董事</w:t>
      </w:r>
      <w:r>
        <w:rPr>
          <w:rFonts w:hint="eastAsia" w:ascii="Arial" w:hAnsi="宋体" w:cs="Arial"/>
          <w:color w:val="000000"/>
          <w:sz w:val="23"/>
          <w:szCs w:val="23"/>
        </w:rPr>
        <w:t>:</w:t>
      </w:r>
    </w:p>
    <w:p w14:paraId="15D6675C">
      <w:pPr>
        <w:pStyle w:val="17"/>
      </w:pPr>
    </w:p>
    <w:p w14:paraId="2CD9E78D">
      <w:pPr>
        <w:pStyle w:val="18"/>
        <w:spacing w:line="300" w:lineRule="auto"/>
        <w:ind w:left="1276" w:right="120"/>
        <w:jc w:val="both"/>
        <w:rPr>
          <w:rFonts w:ascii="Arial" w:hAnsi="宋体" w:cs="Arial"/>
          <w:color w:val="000000"/>
          <w:sz w:val="23"/>
          <w:szCs w:val="23"/>
        </w:rPr>
      </w:pPr>
      <w:r>
        <w:rPr>
          <w:rFonts w:hint="eastAsia" w:ascii="Arial" w:hAnsi="宋体" w:cs="Arial"/>
          <w:color w:val="000000"/>
          <w:sz w:val="23"/>
          <w:szCs w:val="23"/>
        </w:rPr>
        <w:t xml:space="preserve">(一)交易对方; </w:t>
      </w:r>
    </w:p>
    <w:p w14:paraId="046A81AC">
      <w:pPr>
        <w:pStyle w:val="18"/>
        <w:spacing w:line="300" w:lineRule="auto"/>
        <w:ind w:left="1276" w:right="120"/>
        <w:jc w:val="both"/>
        <w:rPr>
          <w:rFonts w:ascii="Arial" w:hAnsi="宋体" w:cs="Arial"/>
          <w:color w:val="000000"/>
          <w:sz w:val="23"/>
          <w:szCs w:val="23"/>
        </w:rPr>
      </w:pPr>
      <w:r>
        <w:rPr>
          <w:rFonts w:hint="eastAsia" w:ascii="Arial" w:hAnsi="宋体" w:cs="Arial"/>
          <w:color w:val="000000"/>
          <w:sz w:val="23"/>
          <w:szCs w:val="23"/>
        </w:rPr>
        <w:t xml:space="preserve">(二)在交易对方任职, 或者在能直接或者间接控制该交易对方的法人(或者其他组织)、该交易对方直接或者间接控制的法人(或者其他组织)任职; </w:t>
      </w:r>
    </w:p>
    <w:p w14:paraId="6555DD9A">
      <w:pPr>
        <w:pStyle w:val="18"/>
        <w:spacing w:line="300" w:lineRule="auto"/>
        <w:ind w:left="1276" w:right="120"/>
        <w:jc w:val="both"/>
        <w:rPr>
          <w:rFonts w:ascii="Arial" w:hAnsi="宋体" w:cs="Arial"/>
          <w:color w:val="000000"/>
          <w:sz w:val="23"/>
          <w:szCs w:val="23"/>
        </w:rPr>
      </w:pPr>
      <w:r>
        <w:rPr>
          <w:rFonts w:hint="eastAsia" w:ascii="Arial" w:hAnsi="宋体" w:cs="Arial"/>
          <w:color w:val="000000"/>
          <w:sz w:val="23"/>
          <w:szCs w:val="23"/>
        </w:rPr>
        <w:t xml:space="preserve">(三)拥有交易对方的直接或者间接控制权; </w:t>
      </w:r>
    </w:p>
    <w:p w14:paraId="34B880C2">
      <w:pPr>
        <w:pStyle w:val="18"/>
        <w:spacing w:line="300" w:lineRule="auto"/>
        <w:ind w:left="1276" w:right="120"/>
        <w:jc w:val="both"/>
        <w:rPr>
          <w:rFonts w:ascii="Arial" w:hAnsi="宋体" w:cs="Arial"/>
          <w:color w:val="000000"/>
          <w:sz w:val="23"/>
          <w:szCs w:val="23"/>
        </w:rPr>
      </w:pPr>
      <w:r>
        <w:rPr>
          <w:rFonts w:hint="eastAsia" w:ascii="Arial" w:hAnsi="宋体" w:cs="Arial"/>
          <w:color w:val="000000"/>
          <w:sz w:val="23"/>
          <w:szCs w:val="23"/>
        </w:rPr>
        <w:t xml:space="preserve">(四)交易对方或者其直接、间接控制人的关系密切的家庭成员; </w:t>
      </w:r>
    </w:p>
    <w:p w14:paraId="607CA2BC">
      <w:pPr>
        <w:pStyle w:val="18"/>
        <w:spacing w:line="300" w:lineRule="auto"/>
        <w:ind w:left="1276" w:right="120"/>
        <w:jc w:val="both"/>
        <w:rPr>
          <w:rFonts w:ascii="Arial" w:hAnsi="宋体" w:cs="Arial"/>
          <w:color w:val="000000"/>
          <w:sz w:val="23"/>
          <w:szCs w:val="23"/>
        </w:rPr>
      </w:pPr>
      <w:r>
        <w:rPr>
          <w:rFonts w:hint="eastAsia" w:ascii="Arial" w:hAnsi="宋体" w:cs="Arial"/>
          <w:color w:val="000000"/>
          <w:sz w:val="23"/>
          <w:szCs w:val="23"/>
        </w:rPr>
        <w:t xml:space="preserve">(五)交易对方或者其直接、间接控制人的董事、监事和高级管理人员的关系密切的家庭成员; </w:t>
      </w:r>
    </w:p>
    <w:p w14:paraId="7007905F">
      <w:pPr>
        <w:pStyle w:val="18"/>
        <w:spacing w:line="300" w:lineRule="auto"/>
        <w:ind w:left="1276" w:right="120"/>
        <w:jc w:val="both"/>
        <w:rPr>
          <w:rFonts w:ascii="Arial" w:hAnsi="宋体" w:cs="Arial"/>
          <w:color w:val="000000"/>
          <w:sz w:val="23"/>
          <w:szCs w:val="23"/>
        </w:rPr>
      </w:pPr>
      <w:r>
        <w:rPr>
          <w:rFonts w:hint="eastAsia" w:ascii="Arial" w:hAnsi="宋体" w:cs="Arial"/>
          <w:color w:val="000000"/>
          <w:sz w:val="23"/>
          <w:szCs w:val="23"/>
        </w:rPr>
        <w:t>(六)中国证监会、本所或者上市公司认定的因其他原因使其独立的商业判断可能受到影响的董事。</w:t>
      </w:r>
    </w:p>
    <w:p w14:paraId="5DF0E4CB">
      <w:pPr>
        <w:pStyle w:val="17"/>
        <w:spacing w:line="300" w:lineRule="auto"/>
        <w:rPr>
          <w:rFonts w:hAnsi="宋体" w:cs="Times New Roman"/>
        </w:rPr>
      </w:pPr>
    </w:p>
    <w:p w14:paraId="76674674">
      <w:pPr>
        <w:pStyle w:val="18"/>
        <w:numPr>
          <w:ilvl w:val="0"/>
          <w:numId w:val="1"/>
        </w:numPr>
        <w:tabs>
          <w:tab w:val="left" w:pos="1276"/>
          <w:tab w:val="clear" w:pos="1455"/>
        </w:tabs>
        <w:spacing w:line="300" w:lineRule="auto"/>
        <w:ind w:left="1276" w:right="120" w:hanging="1276"/>
        <w:jc w:val="both"/>
        <w:rPr>
          <w:rFonts w:hAnsi="宋体"/>
          <w:color w:val="000000"/>
        </w:rPr>
      </w:pPr>
      <w:r>
        <w:rPr>
          <w:rFonts w:hint="eastAsia" w:hAnsi="宋体"/>
          <w:color w:val="000000"/>
        </w:rPr>
        <w:t>被提出回避的董事或其他董事如对关联交易事项的定性及披露或对回避、放弃表决权有异议的</w:t>
      </w:r>
      <w:r>
        <w:rPr>
          <w:rFonts w:hAnsi="宋体"/>
          <w:color w:val="000000"/>
        </w:rPr>
        <w:t xml:space="preserve">, </w:t>
      </w:r>
      <w:r>
        <w:rPr>
          <w:rFonts w:hint="eastAsia" w:hAnsi="宋体"/>
          <w:color w:val="000000"/>
        </w:rPr>
        <w:t>可申请无须回避的董事召开临时董事会会议作出决定。该决定为终局决定。如异议者仍不服</w:t>
      </w:r>
      <w:r>
        <w:rPr>
          <w:rFonts w:hAnsi="宋体"/>
          <w:color w:val="000000"/>
        </w:rPr>
        <w:t xml:space="preserve">, </w:t>
      </w:r>
      <w:r>
        <w:rPr>
          <w:rFonts w:hint="eastAsia" w:hAnsi="宋体"/>
          <w:color w:val="000000"/>
        </w:rPr>
        <w:t>可在会议后向有关部门投诉或以其他方式申请处理。</w:t>
      </w:r>
    </w:p>
    <w:p w14:paraId="6872314F">
      <w:pPr>
        <w:pStyle w:val="17"/>
        <w:spacing w:line="300" w:lineRule="auto"/>
        <w:rPr>
          <w:rFonts w:hAnsi="宋体" w:cs="Times New Roman"/>
        </w:rPr>
      </w:pPr>
    </w:p>
    <w:p w14:paraId="38146E5A">
      <w:pPr>
        <w:pStyle w:val="18"/>
        <w:numPr>
          <w:ilvl w:val="0"/>
          <w:numId w:val="1"/>
        </w:numPr>
        <w:tabs>
          <w:tab w:val="left" w:pos="1276"/>
          <w:tab w:val="clear" w:pos="1455"/>
        </w:tabs>
        <w:spacing w:line="300" w:lineRule="auto"/>
        <w:ind w:left="1276" w:right="120" w:hanging="1276"/>
        <w:jc w:val="both"/>
        <w:rPr>
          <w:rFonts w:hAnsi="宋体"/>
          <w:color w:val="000000"/>
        </w:rPr>
      </w:pPr>
      <w:r>
        <w:rPr>
          <w:rFonts w:hint="eastAsia" w:hAnsi="宋体"/>
          <w:color w:val="000000"/>
        </w:rPr>
        <w:t>公司董事会对有关关联交易进行审查并决议提交股东会审议的</w:t>
      </w:r>
      <w:r>
        <w:rPr>
          <w:rFonts w:hAnsi="宋体"/>
          <w:color w:val="000000"/>
        </w:rPr>
        <w:t xml:space="preserve">, </w:t>
      </w:r>
      <w:r>
        <w:rPr>
          <w:rFonts w:hint="eastAsia" w:hAnsi="宋体"/>
          <w:color w:val="000000"/>
        </w:rPr>
        <w:t>董事会须按《公司法》和《公司章程》规定期限与程序发出召开股东会会议通知。</w:t>
      </w:r>
    </w:p>
    <w:p w14:paraId="00A8C7D1">
      <w:pPr>
        <w:pStyle w:val="17"/>
        <w:spacing w:line="300" w:lineRule="auto"/>
        <w:rPr>
          <w:rFonts w:hAnsi="宋体" w:cs="Times New Roman"/>
        </w:rPr>
      </w:pPr>
    </w:p>
    <w:p w14:paraId="7CBA6E79">
      <w:pPr>
        <w:pStyle w:val="18"/>
        <w:numPr>
          <w:ilvl w:val="0"/>
          <w:numId w:val="1"/>
        </w:numPr>
        <w:tabs>
          <w:tab w:val="left" w:pos="1276"/>
          <w:tab w:val="clear" w:pos="1455"/>
        </w:tabs>
        <w:spacing w:line="300" w:lineRule="auto"/>
        <w:ind w:left="1276" w:right="120" w:hanging="1276"/>
        <w:jc w:val="both"/>
        <w:rPr>
          <w:rFonts w:hAnsi="宋体"/>
          <w:color w:val="000000"/>
        </w:rPr>
      </w:pPr>
      <w:r>
        <w:rPr>
          <w:rFonts w:hint="eastAsia" w:hAnsi="宋体"/>
          <w:color w:val="000000"/>
        </w:rPr>
        <w:t>股东会应对董事会提交的有关关联交易议案进行审议并表决</w:t>
      </w:r>
      <w:r>
        <w:rPr>
          <w:rFonts w:hAnsi="宋体"/>
          <w:color w:val="000000"/>
        </w:rPr>
        <w:t xml:space="preserve">; </w:t>
      </w:r>
      <w:r>
        <w:rPr>
          <w:rFonts w:hint="eastAsia" w:hAnsi="宋体"/>
          <w:color w:val="000000"/>
        </w:rPr>
        <w:t>在进行表决时</w:t>
      </w:r>
      <w:r>
        <w:rPr>
          <w:rFonts w:hAnsi="宋体"/>
          <w:color w:val="000000"/>
        </w:rPr>
        <w:t xml:space="preserve">, </w:t>
      </w:r>
      <w:r>
        <w:rPr>
          <w:rFonts w:hint="eastAsia" w:hAnsi="宋体"/>
          <w:color w:val="000000"/>
        </w:rPr>
        <w:t>下列关联股东应按有关规定回避表决</w:t>
      </w:r>
      <w:r>
        <w:rPr>
          <w:rFonts w:hAnsi="宋体"/>
          <w:color w:val="000000"/>
        </w:rPr>
        <w:t xml:space="preserve">, </w:t>
      </w:r>
      <w:r>
        <w:rPr>
          <w:rFonts w:hint="eastAsia" w:hAnsi="宋体"/>
          <w:color w:val="000000"/>
        </w:rPr>
        <w:t>其持股数不应计入有效表决总数</w:t>
      </w:r>
      <w:r>
        <w:rPr>
          <w:rFonts w:hAnsi="宋体"/>
          <w:color w:val="000000"/>
        </w:rPr>
        <w:t>:</w:t>
      </w:r>
    </w:p>
    <w:p w14:paraId="558974AE">
      <w:pPr>
        <w:pStyle w:val="18"/>
        <w:spacing w:line="300" w:lineRule="auto"/>
        <w:ind w:left="1276" w:right="120"/>
        <w:jc w:val="both"/>
      </w:pPr>
      <w:r>
        <w:rPr>
          <w:rFonts w:hint="eastAsia"/>
        </w:rPr>
        <w:t>(一)</w:t>
      </w:r>
      <w:r>
        <w:rPr>
          <w:rFonts w:hint="eastAsia"/>
        </w:rPr>
        <w:tab/>
      </w:r>
      <w:r>
        <w:rPr>
          <w:rFonts w:hint="eastAsia"/>
        </w:rPr>
        <w:t>交易对方;</w:t>
      </w:r>
    </w:p>
    <w:p w14:paraId="039B26F7">
      <w:pPr>
        <w:pStyle w:val="18"/>
        <w:spacing w:line="300" w:lineRule="auto"/>
        <w:ind w:left="1276" w:right="120"/>
        <w:jc w:val="both"/>
      </w:pPr>
      <w:r>
        <w:rPr>
          <w:rFonts w:hint="eastAsia"/>
        </w:rPr>
        <w:t>(二)</w:t>
      </w:r>
      <w:r>
        <w:rPr>
          <w:rFonts w:hint="eastAsia"/>
        </w:rPr>
        <w:tab/>
      </w:r>
      <w:r>
        <w:rPr>
          <w:rFonts w:hint="eastAsia"/>
        </w:rPr>
        <w:t>拥有交易对方直接或者间接控制权的;</w:t>
      </w:r>
    </w:p>
    <w:p w14:paraId="350830D4">
      <w:pPr>
        <w:pStyle w:val="18"/>
        <w:spacing w:line="300" w:lineRule="auto"/>
        <w:ind w:left="1276" w:right="120"/>
        <w:jc w:val="both"/>
      </w:pPr>
      <w:r>
        <w:rPr>
          <w:rFonts w:hint="eastAsia"/>
        </w:rPr>
        <w:t>(三)</w:t>
      </w:r>
      <w:r>
        <w:rPr>
          <w:rFonts w:hint="eastAsia"/>
        </w:rPr>
        <w:tab/>
      </w:r>
      <w:r>
        <w:rPr>
          <w:rFonts w:hint="eastAsia"/>
        </w:rPr>
        <w:t>被交易对方直接或者间接控制的;</w:t>
      </w:r>
    </w:p>
    <w:p w14:paraId="5D168559">
      <w:pPr>
        <w:pStyle w:val="18"/>
        <w:spacing w:line="300" w:lineRule="auto"/>
        <w:ind w:left="1276" w:right="120"/>
        <w:jc w:val="both"/>
      </w:pPr>
      <w:r>
        <w:rPr>
          <w:rFonts w:hint="eastAsia"/>
        </w:rPr>
        <w:t>(四)</w:t>
      </w:r>
      <w:r>
        <w:rPr>
          <w:rFonts w:hint="eastAsia"/>
        </w:rPr>
        <w:tab/>
      </w:r>
      <w:r>
        <w:rPr>
          <w:rFonts w:hint="eastAsia"/>
        </w:rPr>
        <w:t>与交易对方受同一法人(或者其他组织)或者自然人直接或者间接控制的;</w:t>
      </w:r>
    </w:p>
    <w:p w14:paraId="3034930E">
      <w:pPr>
        <w:pStyle w:val="18"/>
        <w:spacing w:line="300" w:lineRule="auto"/>
        <w:ind w:left="1276" w:right="120"/>
        <w:jc w:val="both"/>
      </w:pPr>
      <w:r>
        <w:rPr>
          <w:rFonts w:hint="eastAsia"/>
        </w:rPr>
        <w:t>(五)</w:t>
      </w:r>
      <w:r>
        <w:rPr>
          <w:rFonts w:hint="eastAsia"/>
        </w:rPr>
        <w:tab/>
      </w:r>
      <w:r>
        <w:rPr>
          <w:rFonts w:hint="eastAsia"/>
        </w:rPr>
        <w:t>在交易对方任职, 或者在能直接或间接控制该交易对方的法人(或者其他组织)、该交易对方直接或间接控制的法人(或者其他组织)任职的;</w:t>
      </w:r>
    </w:p>
    <w:p w14:paraId="588FF677">
      <w:pPr>
        <w:pStyle w:val="18"/>
        <w:spacing w:line="300" w:lineRule="auto"/>
        <w:ind w:left="1276" w:right="120"/>
        <w:jc w:val="both"/>
      </w:pPr>
      <w:r>
        <w:rPr>
          <w:rFonts w:hint="eastAsia"/>
        </w:rPr>
        <w:t>(六)</w:t>
      </w:r>
      <w:r>
        <w:rPr>
          <w:rFonts w:hint="eastAsia"/>
        </w:rPr>
        <w:tab/>
      </w:r>
      <w:r>
        <w:rPr>
          <w:rFonts w:hint="eastAsia"/>
        </w:rPr>
        <w:t>交易对方及其直接、间接控制人的关系密切的家庭成员;</w:t>
      </w:r>
    </w:p>
    <w:p w14:paraId="42DF07E9">
      <w:pPr>
        <w:pStyle w:val="18"/>
        <w:spacing w:line="300" w:lineRule="auto"/>
        <w:ind w:left="1276" w:right="120"/>
        <w:jc w:val="both"/>
      </w:pPr>
      <w:r>
        <w:rPr>
          <w:rFonts w:hint="eastAsia"/>
        </w:rPr>
        <w:t>(七)</w:t>
      </w:r>
      <w:r>
        <w:rPr>
          <w:rFonts w:hint="eastAsia"/>
        </w:rPr>
        <w:tab/>
      </w:r>
      <w:r>
        <w:rPr>
          <w:rFonts w:hint="eastAsia"/>
        </w:rPr>
        <w:t>因与交易对方或者其关联人存在尚未履行完毕的股权转让协议或者其他协议而使其表决权受到限制或者影响的;</w:t>
      </w:r>
    </w:p>
    <w:p w14:paraId="4C71BC69">
      <w:pPr>
        <w:pStyle w:val="18"/>
        <w:spacing w:line="300" w:lineRule="auto"/>
        <w:ind w:left="1276" w:right="120"/>
        <w:jc w:val="both"/>
      </w:pPr>
      <w:r>
        <w:rPr>
          <w:rFonts w:hint="eastAsia"/>
        </w:rPr>
        <w:t>(八)</w:t>
      </w:r>
      <w:r>
        <w:rPr>
          <w:rFonts w:hint="eastAsia"/>
        </w:rPr>
        <w:tab/>
      </w:r>
      <w:r>
        <w:rPr>
          <w:rFonts w:hint="eastAsia"/>
        </w:rPr>
        <w:t>中国证券监督管理委员会或者深圳证券交易所认定的可能造成公司对其利益倾斜的法人或者自然人。</w:t>
      </w:r>
    </w:p>
    <w:p w14:paraId="7BC1C5A5">
      <w:pPr>
        <w:pStyle w:val="17"/>
        <w:spacing w:line="324" w:lineRule="auto"/>
        <w:rPr>
          <w:rFonts w:hAnsi="宋体" w:cs="Times New Roman"/>
        </w:rPr>
      </w:pPr>
    </w:p>
    <w:p w14:paraId="5ED41A43">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olor w:val="000000"/>
        </w:rPr>
        <w:t>被提出回避的股东或其他股东如对关联交易事项的定性及披露或对回避、放弃表决权有异议的</w:t>
      </w:r>
      <w:r>
        <w:rPr>
          <w:rFonts w:hAnsi="宋体" w:cs="Arial"/>
          <w:color w:val="000000"/>
        </w:rPr>
        <w:t xml:space="preserve">, </w:t>
      </w:r>
      <w:r>
        <w:rPr>
          <w:rFonts w:hint="eastAsia" w:hAnsi="宋体"/>
          <w:color w:val="000000"/>
        </w:rPr>
        <w:t>可在股东会后向有关部门投诉或以其他方式申请处理。</w:t>
      </w:r>
    </w:p>
    <w:p w14:paraId="418A7688">
      <w:pPr>
        <w:pStyle w:val="17"/>
        <w:spacing w:line="324" w:lineRule="auto"/>
        <w:rPr>
          <w:rFonts w:hAnsi="宋体" w:cs="Times New Roman"/>
        </w:rPr>
      </w:pPr>
    </w:p>
    <w:p w14:paraId="6105CED0">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olor w:val="000000"/>
        </w:rPr>
        <w:t>公司与关联人之间的关联交易应签订书面协议。协议的签订应当遵循平等、自愿、等价、有偿的原则</w:t>
      </w:r>
      <w:r>
        <w:rPr>
          <w:rFonts w:hAnsi="宋体" w:cs="Arial"/>
          <w:color w:val="000000"/>
        </w:rPr>
        <w:t xml:space="preserve">, </w:t>
      </w:r>
      <w:r>
        <w:rPr>
          <w:rFonts w:hint="eastAsia" w:hAnsi="宋体"/>
          <w:color w:val="000000"/>
        </w:rPr>
        <w:t>协议内容应明确双方的权利、义务和法律责任。公司应将该协议的订立、变更、终止及履行情况等事项按照有关规定予以披露。</w:t>
      </w:r>
    </w:p>
    <w:p w14:paraId="58EAA5B2">
      <w:pPr>
        <w:pStyle w:val="17"/>
        <w:spacing w:line="324" w:lineRule="auto"/>
        <w:rPr>
          <w:rFonts w:hAnsi="宋体" w:cs="Times New Roman"/>
        </w:rPr>
      </w:pPr>
    </w:p>
    <w:p w14:paraId="3C754BD8">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olor w:val="000000"/>
        </w:rPr>
        <w:t>公司关联人与公司签署涉及关联交易的协议</w:t>
      </w:r>
      <w:r>
        <w:rPr>
          <w:rFonts w:hAnsi="宋体" w:cs="Arial"/>
          <w:color w:val="000000"/>
        </w:rPr>
        <w:t xml:space="preserve">, </w:t>
      </w:r>
      <w:r>
        <w:rPr>
          <w:rFonts w:hint="eastAsia" w:hAnsi="宋体"/>
          <w:color w:val="000000"/>
        </w:rPr>
        <w:t>应当采取必要的回避措施</w:t>
      </w:r>
      <w:r>
        <w:rPr>
          <w:rFonts w:hAnsi="宋体" w:cs="Arial"/>
          <w:color w:val="000000"/>
        </w:rPr>
        <w:t xml:space="preserve">: </w:t>
      </w:r>
    </w:p>
    <w:p w14:paraId="136AADD2">
      <w:pPr>
        <w:pStyle w:val="17"/>
        <w:spacing w:line="324" w:lineRule="auto"/>
        <w:rPr>
          <w:rFonts w:hAnsi="宋体" w:cs="Times New Roman"/>
        </w:rPr>
      </w:pPr>
    </w:p>
    <w:p w14:paraId="19907F67">
      <w:pPr>
        <w:pStyle w:val="18"/>
        <w:spacing w:line="324" w:lineRule="auto"/>
        <w:ind w:left="2163" w:leftChars="607" w:right="120" w:rightChars="57" w:hanging="888" w:hangingChars="370"/>
        <w:jc w:val="both"/>
        <w:rPr>
          <w:rFonts w:hAnsi="宋体" w:cs="Arial"/>
          <w:color w:val="000000"/>
        </w:rPr>
      </w:pPr>
      <w:r>
        <w:rPr>
          <w:rFonts w:hAnsi="宋体" w:cs="Arial"/>
          <w:color w:val="000000"/>
        </w:rPr>
        <w:t>(</w:t>
      </w:r>
      <w:r>
        <w:rPr>
          <w:rFonts w:hint="eastAsia" w:hAnsi="宋体"/>
          <w:color w:val="000000"/>
        </w:rPr>
        <w:t>一</w:t>
      </w:r>
      <w:r>
        <w:rPr>
          <w:rFonts w:hAnsi="宋体" w:cs="Arial"/>
          <w:color w:val="000000"/>
        </w:rPr>
        <w:t>)</w:t>
      </w:r>
      <w:r>
        <w:rPr>
          <w:rFonts w:hAnsi="宋体" w:cs="Times New Roman"/>
          <w:color w:val="000000"/>
        </w:rPr>
        <w:tab/>
      </w:r>
      <w:r>
        <w:rPr>
          <w:rFonts w:hint="eastAsia" w:hAnsi="宋体"/>
          <w:color w:val="000000"/>
        </w:rPr>
        <w:t>任何个人只能代表一方签署协议</w:t>
      </w:r>
      <w:r>
        <w:rPr>
          <w:rFonts w:hAnsi="宋体" w:cs="Arial"/>
          <w:color w:val="000000"/>
        </w:rPr>
        <w:t xml:space="preserve">; </w:t>
      </w:r>
    </w:p>
    <w:p w14:paraId="1D6F87AF">
      <w:pPr>
        <w:pStyle w:val="18"/>
        <w:spacing w:line="324" w:lineRule="auto"/>
        <w:ind w:left="2163" w:leftChars="607" w:right="120" w:rightChars="57" w:hanging="888" w:hangingChars="370"/>
        <w:jc w:val="both"/>
        <w:rPr>
          <w:rFonts w:hAnsi="宋体" w:cs="Arial"/>
          <w:color w:val="000000"/>
        </w:rPr>
      </w:pPr>
      <w:r>
        <w:rPr>
          <w:rFonts w:hAnsi="宋体" w:cs="Arial"/>
          <w:color w:val="000000"/>
        </w:rPr>
        <w:t>(</w:t>
      </w:r>
      <w:r>
        <w:rPr>
          <w:rFonts w:hint="eastAsia" w:hAnsi="宋体"/>
          <w:color w:val="000000"/>
        </w:rPr>
        <w:t>二</w:t>
      </w:r>
      <w:r>
        <w:rPr>
          <w:rFonts w:hAnsi="宋体" w:cs="Arial"/>
          <w:color w:val="000000"/>
        </w:rPr>
        <w:t>)</w:t>
      </w:r>
      <w:r>
        <w:rPr>
          <w:rFonts w:hAnsi="宋体" w:cs="Times New Roman"/>
          <w:color w:val="000000"/>
        </w:rPr>
        <w:tab/>
      </w:r>
      <w:r>
        <w:rPr>
          <w:rFonts w:hint="eastAsia" w:hAnsi="宋体"/>
          <w:color w:val="000000"/>
        </w:rPr>
        <w:t>关联人不得以任何方式干预公司的决定</w:t>
      </w:r>
      <w:r>
        <w:rPr>
          <w:rFonts w:hAnsi="宋体" w:cs="Arial"/>
          <w:color w:val="000000"/>
        </w:rPr>
        <w:t xml:space="preserve">; </w:t>
      </w:r>
    </w:p>
    <w:p w14:paraId="5B12F7B1">
      <w:pPr>
        <w:pStyle w:val="18"/>
        <w:spacing w:line="324" w:lineRule="auto"/>
        <w:ind w:left="2163" w:leftChars="607" w:right="120" w:rightChars="57" w:hanging="888" w:hangingChars="370"/>
        <w:jc w:val="both"/>
        <w:rPr>
          <w:rFonts w:hAnsi="宋体" w:cs="Times New Roman"/>
          <w:color w:val="000000"/>
        </w:rPr>
      </w:pPr>
      <w:r>
        <w:rPr>
          <w:rFonts w:hAnsi="宋体" w:cs="Arial"/>
          <w:color w:val="000000"/>
        </w:rPr>
        <w:t>(</w:t>
      </w:r>
      <w:r>
        <w:rPr>
          <w:rFonts w:hint="eastAsia" w:hAnsi="宋体"/>
          <w:color w:val="000000"/>
        </w:rPr>
        <w:t>三</w:t>
      </w:r>
      <w:r>
        <w:rPr>
          <w:rFonts w:hAnsi="宋体" w:cs="Arial"/>
          <w:color w:val="000000"/>
        </w:rPr>
        <w:t>)</w:t>
      </w:r>
      <w:r>
        <w:rPr>
          <w:rFonts w:hAnsi="宋体" w:cs="Times New Roman"/>
          <w:color w:val="000000"/>
        </w:rPr>
        <w:tab/>
      </w:r>
      <w:r>
        <w:rPr>
          <w:rFonts w:hint="eastAsia" w:hAnsi="宋体"/>
          <w:color w:val="000000"/>
        </w:rPr>
        <w:t>有利害关系的当事人属以下情形的</w:t>
      </w:r>
      <w:r>
        <w:rPr>
          <w:rFonts w:hAnsi="宋体" w:cs="Arial"/>
          <w:color w:val="000000"/>
        </w:rPr>
        <w:t xml:space="preserve">, </w:t>
      </w:r>
      <w:r>
        <w:rPr>
          <w:rFonts w:hint="eastAsia" w:hAnsi="宋体"/>
          <w:color w:val="000000"/>
        </w:rPr>
        <w:t>不得参与关联交易协议的制定</w:t>
      </w:r>
      <w:r>
        <w:rPr>
          <w:rFonts w:hAnsi="宋体" w:cs="Arial"/>
          <w:color w:val="000000"/>
        </w:rPr>
        <w:t>:</w:t>
      </w:r>
    </w:p>
    <w:p w14:paraId="1358843C">
      <w:pPr>
        <w:pStyle w:val="17"/>
        <w:tabs>
          <w:tab w:val="left" w:pos="2694"/>
        </w:tabs>
        <w:spacing w:line="324" w:lineRule="auto"/>
        <w:ind w:left="2692" w:leftChars="1012" w:hanging="567"/>
        <w:jc w:val="both"/>
        <w:rPr>
          <w:rFonts w:hAnsi="宋体" w:cs="Arial"/>
        </w:rPr>
      </w:pPr>
      <w:r>
        <w:rPr>
          <w:rFonts w:hAnsi="宋体" w:cs="Arial"/>
        </w:rPr>
        <w:t>1.</w:t>
      </w:r>
      <w:r>
        <w:rPr>
          <w:rFonts w:hAnsi="宋体" w:cs="Arial"/>
        </w:rPr>
        <w:tab/>
      </w:r>
      <w:r>
        <w:rPr>
          <w:rFonts w:hint="eastAsia" w:hAnsi="宋体"/>
        </w:rPr>
        <w:t>与关联人个人利益有关的关联交易</w:t>
      </w:r>
      <w:r>
        <w:rPr>
          <w:rFonts w:hAnsi="宋体" w:cs="Arial"/>
        </w:rPr>
        <w:t xml:space="preserve">; </w:t>
      </w:r>
    </w:p>
    <w:p w14:paraId="13E3DC1D">
      <w:pPr>
        <w:pStyle w:val="17"/>
        <w:tabs>
          <w:tab w:val="left" w:pos="2694"/>
        </w:tabs>
        <w:spacing w:line="324" w:lineRule="auto"/>
        <w:ind w:left="2692" w:leftChars="1012" w:hanging="567"/>
        <w:jc w:val="both"/>
        <w:rPr>
          <w:rFonts w:hAnsi="宋体" w:cs="Arial"/>
        </w:rPr>
      </w:pPr>
      <w:r>
        <w:rPr>
          <w:rFonts w:hAnsi="宋体" w:cs="Arial"/>
        </w:rPr>
        <w:t>2.</w:t>
      </w:r>
      <w:r>
        <w:rPr>
          <w:rFonts w:hAnsi="宋体" w:cs="Arial"/>
        </w:rPr>
        <w:tab/>
      </w:r>
      <w:r>
        <w:rPr>
          <w:rFonts w:hint="eastAsia" w:hAnsi="宋体"/>
        </w:rPr>
        <w:t>关联人在关联企业任职或拥有关联企业的控股权或控制权</w:t>
      </w:r>
      <w:r>
        <w:rPr>
          <w:rFonts w:hAnsi="宋体" w:cs="Arial"/>
        </w:rPr>
        <w:t xml:space="preserve">, </w:t>
      </w:r>
      <w:r>
        <w:rPr>
          <w:rFonts w:hint="eastAsia" w:hAnsi="宋体"/>
        </w:rPr>
        <w:t>该关联企业与公司的关联交易</w:t>
      </w:r>
      <w:r>
        <w:rPr>
          <w:rFonts w:hAnsi="宋体" w:cs="Arial"/>
        </w:rPr>
        <w:t xml:space="preserve">; </w:t>
      </w:r>
    </w:p>
    <w:p w14:paraId="711BE4E7">
      <w:pPr>
        <w:pStyle w:val="17"/>
        <w:tabs>
          <w:tab w:val="left" w:pos="2694"/>
        </w:tabs>
        <w:spacing w:line="324" w:lineRule="auto"/>
        <w:ind w:left="2692" w:leftChars="1012" w:hanging="567"/>
        <w:jc w:val="both"/>
        <w:rPr>
          <w:rFonts w:hAnsi="宋体" w:cs="Times New Roman"/>
        </w:rPr>
      </w:pPr>
      <w:r>
        <w:rPr>
          <w:rFonts w:hAnsi="宋体" w:cs="Arial"/>
        </w:rPr>
        <w:t>3.</w:t>
      </w:r>
      <w:r>
        <w:rPr>
          <w:rFonts w:hAnsi="宋体" w:cs="Arial"/>
        </w:rPr>
        <w:tab/>
      </w:r>
      <w:r>
        <w:rPr>
          <w:rFonts w:hint="eastAsia" w:hAnsi="宋体"/>
        </w:rPr>
        <w:t>按法律、法规和公司章程规定应当回避的。</w:t>
      </w:r>
    </w:p>
    <w:p w14:paraId="355BEC1B">
      <w:pPr>
        <w:pStyle w:val="17"/>
        <w:spacing w:line="324" w:lineRule="auto"/>
        <w:rPr>
          <w:rFonts w:hAnsi="宋体" w:cs="Times New Roman"/>
        </w:rPr>
      </w:pPr>
    </w:p>
    <w:p w14:paraId="558697AE">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olor w:val="000000"/>
        </w:rPr>
        <w:t>关联交易经股东会或董事会审议通过后</w:t>
      </w:r>
      <w:r>
        <w:rPr>
          <w:rFonts w:hAnsi="宋体" w:cs="Arial"/>
          <w:color w:val="000000"/>
        </w:rPr>
        <w:t xml:space="preserve">, </w:t>
      </w:r>
      <w:r>
        <w:rPr>
          <w:rFonts w:hint="eastAsia" w:hAnsi="宋体"/>
          <w:color w:val="000000"/>
        </w:rPr>
        <w:t>公司可与关联方签订有关关联交易协议</w:t>
      </w:r>
      <w:r>
        <w:rPr>
          <w:rFonts w:hAnsi="宋体" w:cs="Arial"/>
          <w:color w:val="000000"/>
        </w:rPr>
        <w:t>(</w:t>
      </w:r>
      <w:r>
        <w:rPr>
          <w:rFonts w:hint="eastAsia" w:hAnsi="宋体"/>
          <w:color w:val="000000"/>
        </w:rPr>
        <w:t>合同</w:t>
      </w:r>
      <w:r>
        <w:rPr>
          <w:rFonts w:hAnsi="宋体" w:cs="Arial"/>
          <w:color w:val="000000"/>
        </w:rPr>
        <w:t xml:space="preserve">), </w:t>
      </w:r>
      <w:r>
        <w:rPr>
          <w:rFonts w:hint="eastAsia" w:hAnsi="宋体"/>
          <w:color w:val="000000"/>
        </w:rPr>
        <w:t>该关联交易协议</w:t>
      </w:r>
      <w:r>
        <w:rPr>
          <w:rFonts w:hAnsi="宋体" w:cs="Arial"/>
          <w:color w:val="000000"/>
        </w:rPr>
        <w:t>(</w:t>
      </w:r>
      <w:r>
        <w:rPr>
          <w:rFonts w:hint="eastAsia" w:hAnsi="宋体"/>
          <w:color w:val="000000"/>
        </w:rPr>
        <w:t>合同</w:t>
      </w:r>
      <w:r>
        <w:rPr>
          <w:rFonts w:hAnsi="宋体" w:cs="Arial"/>
          <w:color w:val="000000"/>
        </w:rPr>
        <w:t>)</w:t>
      </w:r>
      <w:r>
        <w:rPr>
          <w:rFonts w:hint="eastAsia" w:hAnsi="宋体"/>
          <w:color w:val="000000"/>
        </w:rPr>
        <w:t>自双方签字盖章后生效。</w:t>
      </w:r>
    </w:p>
    <w:p w14:paraId="44CE7D05">
      <w:pPr>
        <w:pStyle w:val="17"/>
        <w:spacing w:line="324" w:lineRule="auto"/>
        <w:jc w:val="both"/>
        <w:rPr>
          <w:rFonts w:hAnsi="宋体" w:cs="Times New Roman"/>
        </w:rPr>
      </w:pPr>
    </w:p>
    <w:p w14:paraId="5B91C8AE">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olor w:val="000000"/>
        </w:rPr>
        <w:t>若该项关联交易属于在股东会休会期间发生并须即时签约履行的</w:t>
      </w:r>
      <w:r>
        <w:rPr>
          <w:rFonts w:hAnsi="宋体" w:cs="Arial"/>
          <w:color w:val="000000"/>
        </w:rPr>
        <w:t xml:space="preserve">, </w:t>
      </w:r>
      <w:r>
        <w:rPr>
          <w:rFonts w:hint="eastAsia" w:hAnsi="宋体"/>
          <w:color w:val="000000"/>
        </w:rPr>
        <w:t>可经公司董事会审查后</w:t>
      </w:r>
      <w:r>
        <w:rPr>
          <w:rFonts w:hAnsi="宋体" w:cs="Arial"/>
          <w:color w:val="000000"/>
        </w:rPr>
        <w:t xml:space="preserve">, </w:t>
      </w:r>
      <w:r>
        <w:rPr>
          <w:rFonts w:hint="eastAsia" w:hAnsi="宋体"/>
          <w:color w:val="000000"/>
        </w:rPr>
        <w:t>与有关关联方签订关联交易协议</w:t>
      </w:r>
      <w:r>
        <w:rPr>
          <w:rFonts w:hAnsi="宋体" w:cs="Arial"/>
          <w:color w:val="000000"/>
        </w:rPr>
        <w:t>(</w:t>
      </w:r>
      <w:r>
        <w:rPr>
          <w:rFonts w:hint="eastAsia" w:hAnsi="宋体"/>
          <w:color w:val="000000"/>
        </w:rPr>
        <w:t>合同</w:t>
      </w:r>
      <w:r>
        <w:rPr>
          <w:rFonts w:hAnsi="宋体" w:cs="Arial"/>
          <w:color w:val="000000"/>
        </w:rPr>
        <w:t xml:space="preserve">), </w:t>
      </w:r>
      <w:r>
        <w:rPr>
          <w:rFonts w:hint="eastAsia" w:hAnsi="宋体"/>
          <w:color w:val="000000"/>
        </w:rPr>
        <w:t>即生效执行</w:t>
      </w:r>
      <w:r>
        <w:rPr>
          <w:rFonts w:hAnsi="宋体" w:cs="Arial"/>
          <w:color w:val="000000"/>
        </w:rPr>
        <w:t xml:space="preserve">; </w:t>
      </w:r>
      <w:r>
        <w:rPr>
          <w:rFonts w:hint="eastAsia" w:hAnsi="宋体"/>
          <w:color w:val="000000"/>
        </w:rPr>
        <w:t>但必须经股东会审议并予以追认。</w:t>
      </w:r>
    </w:p>
    <w:p w14:paraId="73FD1579">
      <w:pPr>
        <w:pStyle w:val="17"/>
        <w:spacing w:line="324" w:lineRule="auto"/>
        <w:jc w:val="both"/>
        <w:rPr>
          <w:rFonts w:hAnsi="宋体" w:cs="Times New Roman"/>
        </w:rPr>
      </w:pPr>
    </w:p>
    <w:p w14:paraId="7F35C166">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olor w:val="000000"/>
        </w:rPr>
        <w:t>关联交易合同签订并在合同有效期内</w:t>
      </w:r>
      <w:r>
        <w:rPr>
          <w:rFonts w:hAnsi="宋体" w:cs="Arial"/>
          <w:color w:val="000000"/>
        </w:rPr>
        <w:t xml:space="preserve">, </w:t>
      </w:r>
      <w:r>
        <w:rPr>
          <w:rFonts w:hint="eastAsia" w:hAnsi="宋体"/>
          <w:color w:val="000000"/>
        </w:rPr>
        <w:t>因生产经营情况的变化而导致必须终止或修改有关关联交易协议或合同的</w:t>
      </w:r>
      <w:r>
        <w:rPr>
          <w:rFonts w:hAnsi="宋体" w:cs="Arial"/>
          <w:color w:val="000000"/>
        </w:rPr>
        <w:t xml:space="preserve">, </w:t>
      </w:r>
      <w:r>
        <w:rPr>
          <w:rFonts w:hint="eastAsia" w:hAnsi="宋体"/>
          <w:color w:val="000000"/>
        </w:rPr>
        <w:t>合同双方当事人可签订补充协议</w:t>
      </w:r>
      <w:r>
        <w:rPr>
          <w:rFonts w:hAnsi="宋体" w:cs="Arial"/>
          <w:color w:val="000000"/>
        </w:rPr>
        <w:t>(</w:t>
      </w:r>
      <w:r>
        <w:rPr>
          <w:rFonts w:hint="eastAsia" w:hAnsi="宋体"/>
          <w:color w:val="000000"/>
        </w:rPr>
        <w:t>合同</w:t>
      </w:r>
      <w:r>
        <w:rPr>
          <w:rFonts w:hAnsi="宋体" w:cs="Arial"/>
          <w:color w:val="000000"/>
        </w:rPr>
        <w:t>)</w:t>
      </w:r>
      <w:r>
        <w:rPr>
          <w:rFonts w:hint="eastAsia" w:hAnsi="宋体"/>
          <w:color w:val="000000"/>
        </w:rPr>
        <w:t>以终止或修改原合同</w:t>
      </w:r>
      <w:r>
        <w:rPr>
          <w:rFonts w:hAnsi="宋体" w:cs="Arial"/>
          <w:color w:val="000000"/>
        </w:rPr>
        <w:t xml:space="preserve">; </w:t>
      </w:r>
      <w:r>
        <w:rPr>
          <w:rFonts w:hint="eastAsia" w:hAnsi="宋体"/>
          <w:color w:val="000000"/>
        </w:rPr>
        <w:t>补充合同可视具体情况即时生效或报经董事会、股东会确认后生效。</w:t>
      </w:r>
    </w:p>
    <w:p w14:paraId="4E8E598B">
      <w:pPr>
        <w:pStyle w:val="17"/>
        <w:spacing w:line="324" w:lineRule="auto"/>
        <w:jc w:val="both"/>
        <w:rPr>
          <w:rFonts w:hAnsi="宋体" w:cs="Times New Roman"/>
        </w:rPr>
      </w:pPr>
    </w:p>
    <w:p w14:paraId="0B2EE4E2">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olor w:val="000000"/>
        </w:rPr>
        <w:t>公司应采取有效措施防止关联人以垄断采购和销售业务渠道等方式干预公司的经营</w:t>
      </w:r>
      <w:r>
        <w:rPr>
          <w:rFonts w:hAnsi="宋体" w:cs="Arial"/>
          <w:color w:val="000000"/>
        </w:rPr>
        <w:t xml:space="preserve">, </w:t>
      </w:r>
      <w:r>
        <w:rPr>
          <w:rFonts w:hint="eastAsia" w:hAnsi="宋体"/>
          <w:color w:val="000000"/>
        </w:rPr>
        <w:t>损害公司利益。关联交易活动应遵循商业原则</w:t>
      </w:r>
      <w:r>
        <w:rPr>
          <w:rFonts w:hAnsi="宋体" w:cs="Arial"/>
          <w:color w:val="000000"/>
        </w:rPr>
        <w:t xml:space="preserve">, </w:t>
      </w:r>
      <w:r>
        <w:rPr>
          <w:rFonts w:hint="eastAsia" w:hAnsi="宋体"/>
          <w:color w:val="000000"/>
        </w:rPr>
        <w:t>关联交易的价格原则上应不偏离市场独立第三方的价格或收费的标准。公司应对关联交易的定价依据予以充分披露。</w:t>
      </w:r>
    </w:p>
    <w:p w14:paraId="0EC4BCB4">
      <w:pPr>
        <w:pStyle w:val="17"/>
        <w:spacing w:line="324" w:lineRule="auto"/>
        <w:jc w:val="both"/>
        <w:rPr>
          <w:rFonts w:hAnsi="宋体" w:cs="Times New Roman"/>
        </w:rPr>
      </w:pPr>
    </w:p>
    <w:p w14:paraId="73B12E17">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olor w:val="000000"/>
        </w:rPr>
        <w:t>公司的资产属于公司所有。公司应采取有效措施防止股东及其关联方以各种形式占用或转移公司的资金、资产及其他资源。</w:t>
      </w:r>
    </w:p>
    <w:p w14:paraId="1C513898">
      <w:pPr>
        <w:spacing w:line="324" w:lineRule="auto"/>
        <w:rPr>
          <w:rFonts w:ascii="宋体" w:hAnsi="宋体"/>
          <w:sz w:val="24"/>
        </w:rPr>
      </w:pPr>
    </w:p>
    <w:p w14:paraId="6C4FE642">
      <w:pPr>
        <w:pStyle w:val="18"/>
        <w:numPr>
          <w:ilvl w:val="0"/>
          <w:numId w:val="1"/>
        </w:numPr>
        <w:tabs>
          <w:tab w:val="left" w:pos="1276"/>
          <w:tab w:val="clear" w:pos="1455"/>
        </w:tabs>
        <w:spacing w:line="324" w:lineRule="auto"/>
        <w:ind w:left="1276" w:right="120" w:hanging="1276"/>
        <w:jc w:val="both"/>
        <w:rPr>
          <w:rFonts w:hAnsi="宋体"/>
        </w:rPr>
      </w:pPr>
      <w:r>
        <w:rPr>
          <w:rFonts w:hint="eastAsia" w:hAnsi="宋体"/>
        </w:rPr>
        <w:t>本制度自公司股东会审议通过之日起生效。</w:t>
      </w:r>
    </w:p>
    <w:p w14:paraId="081BDA0A">
      <w:pPr>
        <w:pStyle w:val="17"/>
        <w:rPr>
          <w:rFonts w:hAnsi="宋体"/>
        </w:rPr>
      </w:pPr>
    </w:p>
    <w:p w14:paraId="570DC360">
      <w:pPr>
        <w:pStyle w:val="18"/>
        <w:numPr>
          <w:ilvl w:val="0"/>
          <w:numId w:val="1"/>
        </w:numPr>
        <w:tabs>
          <w:tab w:val="left" w:pos="1276"/>
          <w:tab w:val="clear" w:pos="1455"/>
        </w:tabs>
        <w:spacing w:line="324" w:lineRule="auto"/>
        <w:ind w:left="1276" w:right="120" w:hanging="1276"/>
        <w:rPr>
          <w:rFonts w:hAnsi="宋体" w:cs="Times New Roman"/>
          <w:color w:val="000000"/>
        </w:rPr>
      </w:pPr>
      <w:r>
        <w:rPr>
          <w:rFonts w:hint="eastAsia" w:hAnsi="宋体"/>
          <w:color w:val="000000"/>
        </w:rPr>
        <w:t>本制度解释权属于公司董事会。</w:t>
      </w:r>
    </w:p>
    <w:p w14:paraId="4B031AFD">
      <w:pPr>
        <w:pStyle w:val="17"/>
        <w:spacing w:line="324" w:lineRule="auto"/>
        <w:rPr>
          <w:rFonts w:hAnsi="宋体" w:cs="Times New Roman"/>
        </w:rPr>
      </w:pPr>
    </w:p>
    <w:p w14:paraId="53F09906">
      <w:pPr>
        <w:pStyle w:val="18"/>
        <w:numPr>
          <w:ilvl w:val="0"/>
          <w:numId w:val="1"/>
        </w:numPr>
        <w:tabs>
          <w:tab w:val="left" w:pos="1276"/>
          <w:tab w:val="clear" w:pos="1455"/>
        </w:tabs>
        <w:spacing w:line="324" w:lineRule="auto"/>
        <w:ind w:left="1276" w:right="120" w:hanging="1276"/>
        <w:jc w:val="both"/>
        <w:rPr>
          <w:rFonts w:hAnsi="宋体" w:cs="Times New Roman"/>
          <w:color w:val="000000"/>
        </w:rPr>
      </w:pPr>
      <w:r>
        <w:rPr>
          <w:rFonts w:hint="eastAsia" w:hAnsi="宋体"/>
          <w:color w:val="000000"/>
        </w:rPr>
        <w:t>本制度未尽事宜, 按照有关法律、法规、规章和《公司章程》的规定执行。本制度的相关规定如与日后颁布或修改的有关法律、法规、规章和依法定程序修改后的《公司章程》相抵触</w:t>
      </w:r>
      <w:r>
        <w:rPr>
          <w:rFonts w:hAnsi="宋体" w:cs="Arial"/>
          <w:color w:val="000000"/>
        </w:rPr>
        <w:t xml:space="preserve">, </w:t>
      </w:r>
      <w:r>
        <w:rPr>
          <w:rFonts w:hint="eastAsia" w:hAnsi="宋体"/>
          <w:color w:val="000000"/>
        </w:rPr>
        <w:t>则应根据有关法律、法规、规章和《公司章程》的规定执行</w:t>
      </w:r>
      <w:r>
        <w:rPr>
          <w:rFonts w:hAnsi="宋体" w:cs="Arial"/>
          <w:color w:val="000000"/>
        </w:rPr>
        <w:t xml:space="preserve">, </w:t>
      </w:r>
      <w:r>
        <w:rPr>
          <w:rFonts w:hint="eastAsia" w:hAnsi="宋体"/>
          <w:color w:val="000000"/>
        </w:rPr>
        <w:t>董事会应及时对本制度进行修订。</w:t>
      </w:r>
    </w:p>
    <w:p w14:paraId="21B4BC0F">
      <w:pPr>
        <w:jc w:val="center"/>
        <w:rPr>
          <w:rFonts w:ascii="宋体" w:hAnsi="宋体" w:cs="Arial"/>
          <w:b/>
          <w:sz w:val="24"/>
        </w:rPr>
      </w:pPr>
    </w:p>
    <w:p w14:paraId="46A06760">
      <w:pPr>
        <w:tabs>
          <w:tab w:val="left" w:pos="6120"/>
          <w:tab w:val="left" w:pos="8280"/>
        </w:tabs>
        <w:wordWrap w:val="0"/>
        <w:spacing w:line="360" w:lineRule="auto"/>
        <w:ind w:right="26" w:firstLine="4319" w:firstLineChars="1878"/>
        <w:jc w:val="right"/>
        <w:rPr>
          <w:rFonts w:ascii="Arial" w:hAnsi="Arial"/>
          <w:sz w:val="23"/>
          <w:szCs w:val="23"/>
        </w:rPr>
      </w:pPr>
    </w:p>
    <w:sectPr>
      <w:headerReference r:id="rId3" w:type="default"/>
      <w:footerReference r:id="rId4" w:type="default"/>
      <w:pgSz w:w="11906" w:h="16838"/>
      <w:pgMar w:top="1565"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0D2A">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7BCFA">
    <w:pPr>
      <w:pStyle w:val="5"/>
      <w:jc w:val="both"/>
    </w:pPr>
    <w:r>
      <w:drawing>
        <wp:inline distT="0" distB="0" distL="114300" distR="114300">
          <wp:extent cx="382905" cy="4076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inline>
      </w:drawing>
    </w:r>
    <w:r>
      <w:rPr>
        <w:rFonts w:hint="eastAsia"/>
      </w:rPr>
      <w:t xml:space="preserve">                     永兴特种材料科技股份有限公司关联交易决策制度</w:t>
    </w:r>
  </w:p>
  <w:p w14:paraId="47E89340">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54F05"/>
    <w:multiLevelType w:val="multilevel"/>
    <w:tmpl w:val="13154F05"/>
    <w:lvl w:ilvl="0" w:tentative="0">
      <w:start w:val="1"/>
      <w:numFmt w:val="decimal"/>
      <w:lvlText w:val="%1."/>
      <w:lvlJc w:val="left"/>
      <w:pPr>
        <w:ind w:left="2545" w:hanging="420"/>
      </w:pPr>
      <w:rPr>
        <w:rFonts w:hint="default"/>
      </w:rPr>
    </w:lvl>
    <w:lvl w:ilvl="1" w:tentative="0">
      <w:start w:val="1"/>
      <w:numFmt w:val="lowerLetter"/>
      <w:lvlText w:val="%2)"/>
      <w:lvlJc w:val="left"/>
      <w:pPr>
        <w:ind w:left="2965" w:hanging="420"/>
      </w:pPr>
    </w:lvl>
    <w:lvl w:ilvl="2" w:tentative="0">
      <w:start w:val="1"/>
      <w:numFmt w:val="lowerRoman"/>
      <w:lvlText w:val="%3."/>
      <w:lvlJc w:val="right"/>
      <w:pPr>
        <w:ind w:left="3385" w:hanging="420"/>
      </w:pPr>
    </w:lvl>
    <w:lvl w:ilvl="3" w:tentative="0">
      <w:start w:val="1"/>
      <w:numFmt w:val="decimal"/>
      <w:lvlText w:val="%4."/>
      <w:lvlJc w:val="left"/>
      <w:pPr>
        <w:ind w:left="3805" w:hanging="420"/>
      </w:pPr>
    </w:lvl>
    <w:lvl w:ilvl="4" w:tentative="0">
      <w:start w:val="1"/>
      <w:numFmt w:val="lowerLetter"/>
      <w:lvlText w:val="%5)"/>
      <w:lvlJc w:val="left"/>
      <w:pPr>
        <w:ind w:left="4225" w:hanging="420"/>
      </w:pPr>
    </w:lvl>
    <w:lvl w:ilvl="5" w:tentative="0">
      <w:start w:val="1"/>
      <w:numFmt w:val="lowerRoman"/>
      <w:lvlText w:val="%6."/>
      <w:lvlJc w:val="right"/>
      <w:pPr>
        <w:ind w:left="4645" w:hanging="420"/>
      </w:pPr>
    </w:lvl>
    <w:lvl w:ilvl="6" w:tentative="0">
      <w:start w:val="1"/>
      <w:numFmt w:val="decimal"/>
      <w:lvlText w:val="%7."/>
      <w:lvlJc w:val="left"/>
      <w:pPr>
        <w:ind w:left="5065" w:hanging="420"/>
      </w:pPr>
    </w:lvl>
    <w:lvl w:ilvl="7" w:tentative="0">
      <w:start w:val="1"/>
      <w:numFmt w:val="lowerLetter"/>
      <w:lvlText w:val="%8)"/>
      <w:lvlJc w:val="left"/>
      <w:pPr>
        <w:ind w:left="5485" w:hanging="420"/>
      </w:pPr>
    </w:lvl>
    <w:lvl w:ilvl="8" w:tentative="0">
      <w:start w:val="1"/>
      <w:numFmt w:val="lowerRoman"/>
      <w:lvlText w:val="%9."/>
      <w:lvlJc w:val="right"/>
      <w:pPr>
        <w:ind w:left="5905" w:hanging="420"/>
      </w:pPr>
    </w:lvl>
  </w:abstractNum>
  <w:abstractNum w:abstractNumId="1">
    <w:nsid w:val="609D2572"/>
    <w:multiLevelType w:val="multilevel"/>
    <w:tmpl w:val="609D2572"/>
    <w:lvl w:ilvl="0" w:tentative="0">
      <w:start w:val="2"/>
      <w:numFmt w:val="japaneseCounting"/>
      <w:lvlText w:val="第%1条"/>
      <w:lvlJc w:val="left"/>
      <w:pPr>
        <w:tabs>
          <w:tab w:val="left" w:pos="1455"/>
        </w:tabs>
        <w:ind w:left="1455" w:hanging="975"/>
      </w:pPr>
      <w:rPr>
        <w:rFonts w:hint="default"/>
        <w:b w:val="0"/>
        <w:bC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F1"/>
    <w:rsid w:val="00000E84"/>
    <w:rsid w:val="0000184D"/>
    <w:rsid w:val="000222D2"/>
    <w:rsid w:val="00032C35"/>
    <w:rsid w:val="00044712"/>
    <w:rsid w:val="00050444"/>
    <w:rsid w:val="00065774"/>
    <w:rsid w:val="00066EFB"/>
    <w:rsid w:val="00082E60"/>
    <w:rsid w:val="00083FAA"/>
    <w:rsid w:val="0008424D"/>
    <w:rsid w:val="000B1287"/>
    <w:rsid w:val="000B4C33"/>
    <w:rsid w:val="000B56C9"/>
    <w:rsid w:val="000C15B5"/>
    <w:rsid w:val="000C4609"/>
    <w:rsid w:val="000D1E2C"/>
    <w:rsid w:val="000D633C"/>
    <w:rsid w:val="000D791F"/>
    <w:rsid w:val="000E71C4"/>
    <w:rsid w:val="000F2E93"/>
    <w:rsid w:val="000F2FD5"/>
    <w:rsid w:val="000F6055"/>
    <w:rsid w:val="00107AAC"/>
    <w:rsid w:val="00111955"/>
    <w:rsid w:val="00133778"/>
    <w:rsid w:val="00135A34"/>
    <w:rsid w:val="00136C3B"/>
    <w:rsid w:val="00147737"/>
    <w:rsid w:val="00151D09"/>
    <w:rsid w:val="001928BD"/>
    <w:rsid w:val="00192E70"/>
    <w:rsid w:val="001A036A"/>
    <w:rsid w:val="001A19F9"/>
    <w:rsid w:val="001B2A2B"/>
    <w:rsid w:val="001C5A76"/>
    <w:rsid w:val="001F7875"/>
    <w:rsid w:val="002049BD"/>
    <w:rsid w:val="00207CD0"/>
    <w:rsid w:val="0021098B"/>
    <w:rsid w:val="00214182"/>
    <w:rsid w:val="0021585F"/>
    <w:rsid w:val="00221871"/>
    <w:rsid w:val="002276DF"/>
    <w:rsid w:val="00232F62"/>
    <w:rsid w:val="00235C9C"/>
    <w:rsid w:val="0025524A"/>
    <w:rsid w:val="00275452"/>
    <w:rsid w:val="00280053"/>
    <w:rsid w:val="002A567F"/>
    <w:rsid w:val="002A6027"/>
    <w:rsid w:val="002A6381"/>
    <w:rsid w:val="002B5182"/>
    <w:rsid w:val="002B6075"/>
    <w:rsid w:val="002C04DF"/>
    <w:rsid w:val="002D2FD6"/>
    <w:rsid w:val="002F57AF"/>
    <w:rsid w:val="00306975"/>
    <w:rsid w:val="00316227"/>
    <w:rsid w:val="00330108"/>
    <w:rsid w:val="003453C6"/>
    <w:rsid w:val="00357EA7"/>
    <w:rsid w:val="00385F69"/>
    <w:rsid w:val="003A1EE6"/>
    <w:rsid w:val="003A456A"/>
    <w:rsid w:val="003A6AD8"/>
    <w:rsid w:val="003B2E38"/>
    <w:rsid w:val="003C7559"/>
    <w:rsid w:val="003C7EE9"/>
    <w:rsid w:val="003D41F9"/>
    <w:rsid w:val="003F2BDB"/>
    <w:rsid w:val="003F5ACF"/>
    <w:rsid w:val="00400F5B"/>
    <w:rsid w:val="004042ED"/>
    <w:rsid w:val="00406B90"/>
    <w:rsid w:val="00407805"/>
    <w:rsid w:val="0041099F"/>
    <w:rsid w:val="004220AB"/>
    <w:rsid w:val="004335D7"/>
    <w:rsid w:val="00434E97"/>
    <w:rsid w:val="00435115"/>
    <w:rsid w:val="00441912"/>
    <w:rsid w:val="00451D01"/>
    <w:rsid w:val="00460E59"/>
    <w:rsid w:val="00464BF5"/>
    <w:rsid w:val="004669DC"/>
    <w:rsid w:val="00474004"/>
    <w:rsid w:val="00480C62"/>
    <w:rsid w:val="00483F82"/>
    <w:rsid w:val="0048545D"/>
    <w:rsid w:val="00493183"/>
    <w:rsid w:val="004A03A3"/>
    <w:rsid w:val="004B2582"/>
    <w:rsid w:val="004B2C1E"/>
    <w:rsid w:val="004C5D36"/>
    <w:rsid w:val="004C7FB1"/>
    <w:rsid w:val="004D66E7"/>
    <w:rsid w:val="004E12DE"/>
    <w:rsid w:val="004E1703"/>
    <w:rsid w:val="0050287D"/>
    <w:rsid w:val="00510867"/>
    <w:rsid w:val="005148E6"/>
    <w:rsid w:val="00526264"/>
    <w:rsid w:val="00537850"/>
    <w:rsid w:val="00541947"/>
    <w:rsid w:val="00563486"/>
    <w:rsid w:val="005676D4"/>
    <w:rsid w:val="00567DFB"/>
    <w:rsid w:val="00575DD1"/>
    <w:rsid w:val="005816F1"/>
    <w:rsid w:val="005839E5"/>
    <w:rsid w:val="00590646"/>
    <w:rsid w:val="00591C9C"/>
    <w:rsid w:val="005A0036"/>
    <w:rsid w:val="005B0A92"/>
    <w:rsid w:val="005C0553"/>
    <w:rsid w:val="005D02A9"/>
    <w:rsid w:val="005E4A51"/>
    <w:rsid w:val="005E5D36"/>
    <w:rsid w:val="005F0345"/>
    <w:rsid w:val="005F1284"/>
    <w:rsid w:val="005F38A1"/>
    <w:rsid w:val="005F5379"/>
    <w:rsid w:val="00600193"/>
    <w:rsid w:val="006062C1"/>
    <w:rsid w:val="00610943"/>
    <w:rsid w:val="00623C89"/>
    <w:rsid w:val="006272D3"/>
    <w:rsid w:val="00630C3D"/>
    <w:rsid w:val="006317B6"/>
    <w:rsid w:val="0063307D"/>
    <w:rsid w:val="00635096"/>
    <w:rsid w:val="00635460"/>
    <w:rsid w:val="00641428"/>
    <w:rsid w:val="006509F6"/>
    <w:rsid w:val="00651951"/>
    <w:rsid w:val="00672F18"/>
    <w:rsid w:val="0067470E"/>
    <w:rsid w:val="006B69DE"/>
    <w:rsid w:val="006B72E5"/>
    <w:rsid w:val="006C0048"/>
    <w:rsid w:val="006C22F3"/>
    <w:rsid w:val="006C524F"/>
    <w:rsid w:val="006C7BCD"/>
    <w:rsid w:val="006C7BF6"/>
    <w:rsid w:val="006E03D5"/>
    <w:rsid w:val="006E224A"/>
    <w:rsid w:val="00715F0F"/>
    <w:rsid w:val="00732191"/>
    <w:rsid w:val="0074429D"/>
    <w:rsid w:val="0075525B"/>
    <w:rsid w:val="007555EB"/>
    <w:rsid w:val="0075603C"/>
    <w:rsid w:val="00762AA5"/>
    <w:rsid w:val="0076387A"/>
    <w:rsid w:val="00765DF4"/>
    <w:rsid w:val="007670B1"/>
    <w:rsid w:val="00793ADB"/>
    <w:rsid w:val="00794E4B"/>
    <w:rsid w:val="00795A85"/>
    <w:rsid w:val="007A3642"/>
    <w:rsid w:val="007A6B4F"/>
    <w:rsid w:val="007A7D45"/>
    <w:rsid w:val="007B1634"/>
    <w:rsid w:val="007B24F0"/>
    <w:rsid w:val="007C739C"/>
    <w:rsid w:val="007E4509"/>
    <w:rsid w:val="007E4B47"/>
    <w:rsid w:val="007F5A0F"/>
    <w:rsid w:val="00822749"/>
    <w:rsid w:val="008254C1"/>
    <w:rsid w:val="008336F9"/>
    <w:rsid w:val="00833BF2"/>
    <w:rsid w:val="00845D60"/>
    <w:rsid w:val="008536A0"/>
    <w:rsid w:val="008640A0"/>
    <w:rsid w:val="00880E5B"/>
    <w:rsid w:val="00883E62"/>
    <w:rsid w:val="008850C7"/>
    <w:rsid w:val="008A342B"/>
    <w:rsid w:val="008B15C1"/>
    <w:rsid w:val="008B2344"/>
    <w:rsid w:val="008B69F6"/>
    <w:rsid w:val="008C09E3"/>
    <w:rsid w:val="008D00E3"/>
    <w:rsid w:val="008D65D1"/>
    <w:rsid w:val="008E5C59"/>
    <w:rsid w:val="00901C68"/>
    <w:rsid w:val="00903950"/>
    <w:rsid w:val="00912D55"/>
    <w:rsid w:val="00932D98"/>
    <w:rsid w:val="00936A1D"/>
    <w:rsid w:val="00943F43"/>
    <w:rsid w:val="00951293"/>
    <w:rsid w:val="00952A95"/>
    <w:rsid w:val="009563D9"/>
    <w:rsid w:val="00962720"/>
    <w:rsid w:val="009721F3"/>
    <w:rsid w:val="00983BA3"/>
    <w:rsid w:val="00985803"/>
    <w:rsid w:val="00987981"/>
    <w:rsid w:val="00993AF1"/>
    <w:rsid w:val="009A2ECB"/>
    <w:rsid w:val="009A57C8"/>
    <w:rsid w:val="009C68CA"/>
    <w:rsid w:val="009D1530"/>
    <w:rsid w:val="009D776C"/>
    <w:rsid w:val="009E610B"/>
    <w:rsid w:val="009F3ADF"/>
    <w:rsid w:val="009F728E"/>
    <w:rsid w:val="00A00F13"/>
    <w:rsid w:val="00A03191"/>
    <w:rsid w:val="00A149EB"/>
    <w:rsid w:val="00A166B6"/>
    <w:rsid w:val="00A201BD"/>
    <w:rsid w:val="00A41AB9"/>
    <w:rsid w:val="00A44472"/>
    <w:rsid w:val="00A54171"/>
    <w:rsid w:val="00A56CEA"/>
    <w:rsid w:val="00A61C71"/>
    <w:rsid w:val="00A825AA"/>
    <w:rsid w:val="00A9076F"/>
    <w:rsid w:val="00A958B6"/>
    <w:rsid w:val="00AA2AA6"/>
    <w:rsid w:val="00AA6836"/>
    <w:rsid w:val="00AB3891"/>
    <w:rsid w:val="00AC721B"/>
    <w:rsid w:val="00AC7CC7"/>
    <w:rsid w:val="00AD22A0"/>
    <w:rsid w:val="00AE47E4"/>
    <w:rsid w:val="00AE5EC7"/>
    <w:rsid w:val="00AF2544"/>
    <w:rsid w:val="00B009E9"/>
    <w:rsid w:val="00B03F86"/>
    <w:rsid w:val="00B06F55"/>
    <w:rsid w:val="00B13566"/>
    <w:rsid w:val="00B35EF9"/>
    <w:rsid w:val="00B420F0"/>
    <w:rsid w:val="00B53D12"/>
    <w:rsid w:val="00B7146A"/>
    <w:rsid w:val="00B75C21"/>
    <w:rsid w:val="00BA3393"/>
    <w:rsid w:val="00BC3424"/>
    <w:rsid w:val="00BD44BA"/>
    <w:rsid w:val="00BE0386"/>
    <w:rsid w:val="00BE1795"/>
    <w:rsid w:val="00BE5C2F"/>
    <w:rsid w:val="00BF3146"/>
    <w:rsid w:val="00C21508"/>
    <w:rsid w:val="00C21FC9"/>
    <w:rsid w:val="00C27DA1"/>
    <w:rsid w:val="00C307D2"/>
    <w:rsid w:val="00C323AD"/>
    <w:rsid w:val="00C36A0F"/>
    <w:rsid w:val="00C45DB9"/>
    <w:rsid w:val="00C53C26"/>
    <w:rsid w:val="00C579DC"/>
    <w:rsid w:val="00C7114B"/>
    <w:rsid w:val="00C73507"/>
    <w:rsid w:val="00C775BC"/>
    <w:rsid w:val="00C90BD2"/>
    <w:rsid w:val="00CA2A9B"/>
    <w:rsid w:val="00CB6A96"/>
    <w:rsid w:val="00CD6DE3"/>
    <w:rsid w:val="00CE04D5"/>
    <w:rsid w:val="00D01907"/>
    <w:rsid w:val="00D05617"/>
    <w:rsid w:val="00D06907"/>
    <w:rsid w:val="00D10B7B"/>
    <w:rsid w:val="00D35DCB"/>
    <w:rsid w:val="00D44F3D"/>
    <w:rsid w:val="00D4598B"/>
    <w:rsid w:val="00D52A54"/>
    <w:rsid w:val="00D6040F"/>
    <w:rsid w:val="00D77AC1"/>
    <w:rsid w:val="00D81B8A"/>
    <w:rsid w:val="00D877E8"/>
    <w:rsid w:val="00DA02E4"/>
    <w:rsid w:val="00DA195A"/>
    <w:rsid w:val="00DA6191"/>
    <w:rsid w:val="00DC1A7F"/>
    <w:rsid w:val="00DF0334"/>
    <w:rsid w:val="00DF4439"/>
    <w:rsid w:val="00E00B80"/>
    <w:rsid w:val="00E01420"/>
    <w:rsid w:val="00E045D4"/>
    <w:rsid w:val="00E103FC"/>
    <w:rsid w:val="00E14B6A"/>
    <w:rsid w:val="00E261BA"/>
    <w:rsid w:val="00E506FC"/>
    <w:rsid w:val="00E50D7C"/>
    <w:rsid w:val="00E579DD"/>
    <w:rsid w:val="00E6544B"/>
    <w:rsid w:val="00E84DF9"/>
    <w:rsid w:val="00E91A9C"/>
    <w:rsid w:val="00EB08C7"/>
    <w:rsid w:val="00EB2011"/>
    <w:rsid w:val="00EB5244"/>
    <w:rsid w:val="00EC1E4E"/>
    <w:rsid w:val="00EF7282"/>
    <w:rsid w:val="00F022B8"/>
    <w:rsid w:val="00F03C52"/>
    <w:rsid w:val="00F10166"/>
    <w:rsid w:val="00F11E88"/>
    <w:rsid w:val="00F14561"/>
    <w:rsid w:val="00F41B5D"/>
    <w:rsid w:val="00F41BFE"/>
    <w:rsid w:val="00F45A0D"/>
    <w:rsid w:val="00F46573"/>
    <w:rsid w:val="00F5482E"/>
    <w:rsid w:val="00F54AAE"/>
    <w:rsid w:val="00F56E84"/>
    <w:rsid w:val="00F61521"/>
    <w:rsid w:val="00F70BF5"/>
    <w:rsid w:val="00F72CC1"/>
    <w:rsid w:val="00F7653D"/>
    <w:rsid w:val="00F962E2"/>
    <w:rsid w:val="00FA46BA"/>
    <w:rsid w:val="00FA714B"/>
    <w:rsid w:val="00FC2B24"/>
    <w:rsid w:val="00FE0AEE"/>
    <w:rsid w:val="00FF1A32"/>
    <w:rsid w:val="00FF43FB"/>
    <w:rsid w:val="00FF4C9E"/>
    <w:rsid w:val="00FF7781"/>
    <w:rsid w:val="038109E0"/>
    <w:rsid w:val="0BEC1B52"/>
    <w:rsid w:val="2E66602B"/>
    <w:rsid w:val="30ED548F"/>
    <w:rsid w:val="43F84138"/>
    <w:rsid w:val="5F3B6D1D"/>
    <w:rsid w:val="6E7F7C42"/>
    <w:rsid w:val="7C2C6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qFormat/>
    <w:uiPriority w:val="0"/>
    <w:rPr>
      <w:sz w:val="21"/>
      <w:szCs w:val="21"/>
    </w:rPr>
  </w:style>
  <w:style w:type="character" w:customStyle="1" w:styleId="11">
    <w:name w:val="批注文字 字符"/>
    <w:link w:val="2"/>
    <w:qFormat/>
    <w:uiPriority w:val="0"/>
    <w:rPr>
      <w:kern w:val="2"/>
      <w:sz w:val="21"/>
      <w:szCs w:val="24"/>
    </w:rPr>
  </w:style>
  <w:style w:type="character" w:customStyle="1" w:styleId="12">
    <w:name w:val="批注框文本 字符"/>
    <w:link w:val="3"/>
    <w:qFormat/>
    <w:uiPriority w:val="0"/>
    <w:rPr>
      <w:kern w:val="2"/>
      <w:sz w:val="18"/>
      <w:szCs w:val="18"/>
    </w:rPr>
  </w:style>
  <w:style w:type="character" w:customStyle="1" w:styleId="13">
    <w:name w:val="页眉 字符"/>
    <w:link w:val="5"/>
    <w:qFormat/>
    <w:uiPriority w:val="0"/>
    <w:rPr>
      <w:rFonts w:eastAsia="宋体"/>
      <w:kern w:val="2"/>
      <w:sz w:val="18"/>
      <w:szCs w:val="18"/>
      <w:lang w:val="en-US" w:eastAsia="zh-CN" w:bidi="ar-SA"/>
    </w:rPr>
  </w:style>
  <w:style w:type="character" w:customStyle="1" w:styleId="14">
    <w:name w:val="批注主题 字符"/>
    <w:link w:val="6"/>
    <w:qFormat/>
    <w:uiPriority w:val="0"/>
    <w:rPr>
      <w:b/>
      <w:bCs/>
      <w:kern w:val="2"/>
      <w:sz w:val="21"/>
      <w:szCs w:val="24"/>
    </w:rPr>
  </w:style>
  <w:style w:type="paragraph" w:customStyle="1" w:styleId="15">
    <w:name w:val="Char Char Char Char1 Char Char Char Char Char Char Char Char Char1 Char Char Char Char Char Char Char Char Char Char Char Char"/>
    <w:basedOn w:val="1"/>
    <w:qFormat/>
    <w:uiPriority w:val="0"/>
    <w:pPr>
      <w:widowControl/>
      <w:spacing w:after="160" w:line="240" w:lineRule="exact"/>
      <w:jc w:val="left"/>
    </w:pPr>
    <w:rPr>
      <w:kern w:val="0"/>
      <w:sz w:val="20"/>
      <w:szCs w:val="20"/>
    </w:rPr>
  </w:style>
  <w:style w:type="paragraph" w:customStyle="1" w:styleId="16">
    <w:name w:val="Char"/>
    <w:basedOn w:val="1"/>
    <w:qFormat/>
    <w:uiPriority w:val="0"/>
    <w:pPr>
      <w:widowControl/>
      <w:spacing w:after="160" w:line="240" w:lineRule="exact"/>
      <w:jc w:val="left"/>
    </w:pPr>
    <w:rPr>
      <w:kern w:val="0"/>
      <w:sz w:val="20"/>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CM1"/>
    <w:basedOn w:val="17"/>
    <w:next w:val="17"/>
    <w:qFormat/>
    <w:uiPriority w:val="0"/>
    <w:pPr>
      <w:spacing w:line="468" w:lineRule="atLeast"/>
    </w:pPr>
    <w:rPr>
      <w:color w:val="auto"/>
    </w:rPr>
  </w:style>
  <w:style w:type="paragraph" w:customStyle="1" w:styleId="19">
    <w:name w:val="CM5"/>
    <w:basedOn w:val="17"/>
    <w:next w:val="17"/>
    <w:qFormat/>
    <w:uiPriority w:val="0"/>
    <w:pPr>
      <w:spacing w:line="468" w:lineRule="atLeast"/>
    </w:pPr>
    <w:rPr>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5833</Words>
  <Characters>5890</Characters>
  <Lines>44</Lines>
  <Paragraphs>12</Paragraphs>
  <TotalTime>6</TotalTime>
  <ScaleCrop>false</ScaleCrop>
  <LinksUpToDate>false</LinksUpToDate>
  <CharactersWithSpaces>6132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2015-06-06T04:59:00Z</dcterms:created>
  <dc:creator>Llinks</dc:creator>
  <cp:lastModifiedBy>lln</cp:lastModifiedBy>
  <dcterms:modified xsi:type="dcterms:W3CDTF">2025-08-20T09:19:12Z</dcterms:modified>
  <dc:title>议案十四</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2052-12.1.0.21915</vt:lpwstr>
  </property>
  <property fmtid="{D5CDD505-2E9C-101B-9397-08002B2CF9AE}" pid="4" name="ICV">
    <vt:lpwstr>203DDCDD12534A9188F3B400F7A766AC_13</vt:lpwstr>
  </property>
</Properties>
</file>