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F50B17">
      <w:pPr>
        <w:spacing w:line="460" w:lineRule="exact"/>
        <w:jc w:val="center"/>
        <w:rPr>
          <w:rFonts w:ascii="宋体" w:hAnsi="宋体"/>
          <w:b/>
          <w:bCs/>
          <w:sz w:val="32"/>
          <w:lang w:eastAsia="zh-CN"/>
        </w:rPr>
      </w:pPr>
    </w:p>
    <w:p w14:paraId="33CBCC64">
      <w:pPr>
        <w:spacing w:line="360" w:lineRule="auto"/>
        <w:jc w:val="center"/>
        <w:rPr>
          <w:rFonts w:ascii="宋体" w:hAnsi="宋体"/>
          <w:b/>
          <w:bCs/>
          <w:sz w:val="32"/>
          <w:lang w:eastAsia="zh-CN"/>
        </w:rPr>
      </w:pPr>
      <w:r>
        <w:rPr>
          <w:rFonts w:hint="eastAsia" w:ascii="宋体" w:hAnsi="宋体"/>
          <w:b/>
          <w:bCs/>
          <w:sz w:val="32"/>
          <w:lang w:eastAsia="zh-CN"/>
        </w:rPr>
        <w:t>永兴特种材料科技股份有限公司</w:t>
      </w:r>
    </w:p>
    <w:p w14:paraId="5FED655C">
      <w:pPr>
        <w:spacing w:line="360" w:lineRule="auto"/>
        <w:jc w:val="center"/>
        <w:rPr>
          <w:rFonts w:ascii="宋体" w:hAnsi="宋体"/>
          <w:b/>
          <w:bCs/>
          <w:sz w:val="32"/>
          <w:lang w:eastAsia="zh-CN"/>
        </w:rPr>
      </w:pPr>
      <w:r>
        <w:rPr>
          <w:rFonts w:hint="eastAsia" w:ascii="宋体" w:hAnsi="宋体"/>
          <w:b/>
          <w:bCs/>
          <w:sz w:val="32"/>
          <w:lang w:eastAsia="zh-CN"/>
        </w:rPr>
        <w:t>重大信息内部报告制度</w:t>
      </w:r>
    </w:p>
    <w:p w14:paraId="0AFB0EE0">
      <w:pPr>
        <w:spacing w:line="460" w:lineRule="exact"/>
        <w:rPr>
          <w:rFonts w:ascii="宋体" w:hAnsi="宋体"/>
          <w:sz w:val="24"/>
          <w:lang w:eastAsia="zh-CN"/>
        </w:rPr>
      </w:pPr>
    </w:p>
    <w:p w14:paraId="400821F8">
      <w:pPr>
        <w:numPr>
          <w:ilvl w:val="0"/>
          <w:numId w:val="1"/>
        </w:numPr>
        <w:spacing w:line="460" w:lineRule="exact"/>
        <w:jc w:val="center"/>
        <w:rPr>
          <w:rFonts w:ascii="宋体" w:hAnsi="宋体"/>
          <w:b/>
          <w:sz w:val="24"/>
        </w:rPr>
      </w:pPr>
      <w:r>
        <w:rPr>
          <w:rFonts w:hint="eastAsia" w:ascii="宋体" w:hAnsi="宋体"/>
          <w:b/>
          <w:sz w:val="24"/>
        </w:rPr>
        <w:t>总则</w:t>
      </w:r>
    </w:p>
    <w:p w14:paraId="782EAA35">
      <w:pPr>
        <w:spacing w:line="460" w:lineRule="exact"/>
        <w:jc w:val="center"/>
        <w:rPr>
          <w:rFonts w:ascii="宋体" w:hAnsi="宋体"/>
          <w:b/>
          <w:sz w:val="24"/>
        </w:rPr>
      </w:pPr>
    </w:p>
    <w:p w14:paraId="12E45BFA">
      <w:pPr>
        <w:numPr>
          <w:ilvl w:val="0"/>
          <w:numId w:val="2"/>
        </w:numPr>
        <w:tabs>
          <w:tab w:val="left" w:pos="1260"/>
          <w:tab w:val="clear" w:pos="1440"/>
        </w:tabs>
        <w:spacing w:line="360" w:lineRule="auto"/>
        <w:ind w:left="1330" w:hanging="1329" w:hangingChars="554"/>
        <w:rPr>
          <w:rFonts w:ascii="宋体" w:hAnsi="宋体" w:cs="Arial"/>
          <w:sz w:val="24"/>
          <w:lang w:eastAsia="zh-CN"/>
        </w:rPr>
      </w:pPr>
      <w:r>
        <w:rPr>
          <w:rFonts w:hint="eastAsia" w:ascii="宋体" w:hAnsi="宋体" w:cs="Arial"/>
          <w:sz w:val="24"/>
          <w:lang w:eastAsia="zh-CN"/>
        </w:rPr>
        <w:t>为加强永兴特种材料科技股份有限公司（以下简称公司）重大信息内部报告工作，明确公司内部各部门和各子公司、分支机构的信息收集和管理办法，确保公司及时、真实、准确、完整地披露所有对公司股票及其衍生品种交易价格可能产生较大影响的信息，根据《深圳证券交易所股票上市规则》（以下简称《上市规则》）、《永兴特种材料科技股份有限公司章程》（以下简称《公司章程》）、《永兴特种材料科技股份有限公司信息披露事务管理制度》（以下简称《信息披露事务管理制度》）及其他有关法律、法规和规范性文件的规定，结合公司实际情况，制订本制度。本制度适用于公司董事、高级管理人员及总部各部门、下属子公司（指公司直接或间接控股比例超过50%的子公司或对其具有实际控制权的子公司）。</w:t>
      </w:r>
    </w:p>
    <w:p w14:paraId="79689F75">
      <w:pPr>
        <w:spacing w:line="460" w:lineRule="exact"/>
        <w:rPr>
          <w:rFonts w:ascii="宋体" w:hAnsi="宋体"/>
          <w:sz w:val="24"/>
          <w:lang w:eastAsia="zh-CN"/>
        </w:rPr>
      </w:pPr>
      <w:r>
        <w:rPr>
          <w:rFonts w:hint="eastAsia" w:ascii="宋体" w:hAnsi="宋体"/>
          <w:sz w:val="24"/>
          <w:lang w:eastAsia="zh-CN"/>
        </w:rPr>
        <w:t xml:space="preserve">    </w:t>
      </w:r>
    </w:p>
    <w:p w14:paraId="2B43AC4E">
      <w:pPr>
        <w:numPr>
          <w:ilvl w:val="0"/>
          <w:numId w:val="2"/>
        </w:numPr>
        <w:tabs>
          <w:tab w:val="left" w:pos="1260"/>
          <w:tab w:val="clear" w:pos="1440"/>
        </w:tabs>
        <w:spacing w:line="360" w:lineRule="auto"/>
        <w:ind w:left="1330" w:hanging="1329" w:hangingChars="554"/>
        <w:rPr>
          <w:rFonts w:ascii="宋体" w:hAnsi="宋体" w:cs="Arial"/>
          <w:sz w:val="24"/>
          <w:lang w:eastAsia="zh-CN"/>
        </w:rPr>
      </w:pPr>
      <w:r>
        <w:rPr>
          <w:rFonts w:ascii="宋体" w:hAnsi="宋体" w:cs="Arial"/>
          <w:sz w:val="24"/>
          <w:lang w:eastAsia="zh-CN"/>
        </w:rPr>
        <w:t>公司重大信息内部报告制度是指当出现、发生或即将发生可能对公司股票及其</w:t>
      </w:r>
      <w:r>
        <w:rPr>
          <w:rFonts w:hint="eastAsia" w:ascii="宋体" w:hAnsi="宋体" w:cs="Arial"/>
          <w:sz w:val="24"/>
          <w:lang w:eastAsia="zh-CN"/>
        </w:rPr>
        <w:t>衍生</w:t>
      </w:r>
      <w:r>
        <w:rPr>
          <w:rFonts w:ascii="宋体" w:hAnsi="宋体" w:cs="Arial"/>
          <w:sz w:val="24"/>
          <w:lang w:eastAsia="zh-CN"/>
        </w:rPr>
        <w:t>品种的交易价格产生较大影响的情形或事件时，按照本制度规定负有报告义务的有关人员和公司，应及时将有关信息向公司董事长</w:t>
      </w:r>
      <w:r>
        <w:rPr>
          <w:rFonts w:hint="eastAsia" w:ascii="宋体" w:hAnsi="宋体" w:cs="Arial"/>
          <w:sz w:val="24"/>
          <w:lang w:eastAsia="zh-CN"/>
        </w:rPr>
        <w:t>、经理层和</w:t>
      </w:r>
      <w:r>
        <w:rPr>
          <w:rFonts w:ascii="宋体" w:hAnsi="宋体" w:cs="Arial"/>
          <w:sz w:val="24"/>
          <w:lang w:eastAsia="zh-CN"/>
        </w:rPr>
        <w:t>董事会秘书报告的制度。</w:t>
      </w:r>
    </w:p>
    <w:p w14:paraId="600442CF">
      <w:pPr>
        <w:spacing w:line="460" w:lineRule="exact"/>
        <w:ind w:firstLine="480" w:firstLineChars="200"/>
        <w:rPr>
          <w:rFonts w:ascii="宋体" w:hAnsi="宋体"/>
          <w:sz w:val="24"/>
          <w:lang w:eastAsia="zh-CN"/>
        </w:rPr>
      </w:pPr>
    </w:p>
    <w:p w14:paraId="4C6EF080">
      <w:pPr>
        <w:numPr>
          <w:ilvl w:val="0"/>
          <w:numId w:val="2"/>
        </w:numPr>
        <w:tabs>
          <w:tab w:val="left" w:pos="1260"/>
          <w:tab w:val="clear" w:pos="1440"/>
        </w:tabs>
        <w:spacing w:line="360" w:lineRule="auto"/>
        <w:ind w:left="1330" w:hanging="1329" w:hangingChars="554"/>
        <w:rPr>
          <w:rFonts w:ascii="宋体" w:hAnsi="宋体" w:cs="Arial"/>
          <w:sz w:val="24"/>
          <w:lang w:eastAsia="zh-CN"/>
        </w:rPr>
      </w:pPr>
      <w:r>
        <w:rPr>
          <w:rFonts w:hint="eastAsia" w:ascii="宋体" w:hAnsi="宋体" w:cs="Arial"/>
          <w:sz w:val="24"/>
          <w:lang w:eastAsia="zh-CN"/>
        </w:rPr>
        <w:t>公司董事会办公室是公司信息披露的管理部门，公司各部门、分公司、下属子公司的负责人和/或联络人为信息报告人（以下简称为报告人）。报告人负有向董事会报告本制度规定的重大信息并提交相关文件资料的义务。</w:t>
      </w:r>
    </w:p>
    <w:p w14:paraId="3097D92D">
      <w:pPr>
        <w:spacing w:line="460" w:lineRule="exact"/>
        <w:rPr>
          <w:rFonts w:ascii="宋体" w:hAnsi="宋体"/>
          <w:sz w:val="24"/>
          <w:lang w:eastAsia="zh-CN"/>
        </w:rPr>
      </w:pPr>
      <w:r>
        <w:rPr>
          <w:rFonts w:hint="eastAsia" w:ascii="宋体" w:hAnsi="宋体"/>
          <w:sz w:val="24"/>
          <w:lang w:eastAsia="zh-CN"/>
        </w:rPr>
        <w:t xml:space="preserve">    </w:t>
      </w:r>
    </w:p>
    <w:p w14:paraId="1C30546D">
      <w:pPr>
        <w:numPr>
          <w:ilvl w:val="0"/>
          <w:numId w:val="2"/>
        </w:numPr>
        <w:tabs>
          <w:tab w:val="left" w:pos="1260"/>
          <w:tab w:val="clear" w:pos="1440"/>
        </w:tabs>
        <w:spacing w:line="360" w:lineRule="auto"/>
        <w:ind w:left="1330" w:hanging="1329" w:hangingChars="554"/>
        <w:rPr>
          <w:rFonts w:ascii="宋体" w:hAnsi="宋体" w:cs="Arial"/>
          <w:sz w:val="24"/>
          <w:lang w:eastAsia="zh-CN"/>
        </w:rPr>
      </w:pPr>
      <w:r>
        <w:rPr>
          <w:rFonts w:hint="eastAsia" w:ascii="宋体" w:hAnsi="宋体" w:cs="Arial"/>
          <w:sz w:val="24"/>
          <w:lang w:eastAsia="zh-CN"/>
        </w:rPr>
        <w:t>报告人应在本制度规定的第一时间内向董事会办公室履行信息报告义务，并保证提供的相关文件资料真实、准确、完整，不带有重大隐瞒、虚假陈述或引起重大误解之处。</w:t>
      </w:r>
    </w:p>
    <w:p w14:paraId="38D6C273">
      <w:pPr>
        <w:tabs>
          <w:tab w:val="left" w:pos="1260"/>
        </w:tabs>
        <w:spacing w:line="360" w:lineRule="auto"/>
        <w:ind w:left="1274"/>
        <w:rPr>
          <w:rFonts w:ascii="宋体" w:hAnsi="宋体" w:cs="Arial"/>
          <w:sz w:val="24"/>
          <w:lang w:eastAsia="zh-CN"/>
        </w:rPr>
      </w:pPr>
      <w:r>
        <w:rPr>
          <w:rFonts w:hint="eastAsia" w:ascii="宋体" w:hAnsi="宋体" w:cs="Arial"/>
          <w:sz w:val="24"/>
          <w:lang w:eastAsia="zh-CN"/>
        </w:rPr>
        <w:t>报告人对所报告信息的后果承担责任。</w:t>
      </w:r>
    </w:p>
    <w:p w14:paraId="69DECA3C">
      <w:pPr>
        <w:tabs>
          <w:tab w:val="left" w:pos="1260"/>
        </w:tabs>
        <w:spacing w:line="360" w:lineRule="auto"/>
        <w:ind w:left="1274"/>
        <w:rPr>
          <w:rFonts w:hint="eastAsia" w:ascii="宋体" w:hAnsi="宋体" w:cs="Arial"/>
          <w:sz w:val="24"/>
          <w:lang w:eastAsia="zh-CN"/>
        </w:rPr>
      </w:pPr>
    </w:p>
    <w:p w14:paraId="62D9D2D7">
      <w:pPr>
        <w:numPr>
          <w:ilvl w:val="0"/>
          <w:numId w:val="1"/>
        </w:numPr>
        <w:spacing w:line="460" w:lineRule="exact"/>
        <w:jc w:val="center"/>
        <w:rPr>
          <w:rFonts w:ascii="宋体" w:hAnsi="宋体"/>
          <w:b/>
          <w:sz w:val="24"/>
        </w:rPr>
      </w:pPr>
      <w:r>
        <w:rPr>
          <w:rFonts w:hint="eastAsia" w:ascii="宋体" w:hAnsi="宋体"/>
          <w:b/>
          <w:sz w:val="24"/>
        </w:rPr>
        <w:t>重大信息的范围</w:t>
      </w:r>
    </w:p>
    <w:p w14:paraId="28B7E252">
      <w:pPr>
        <w:spacing w:line="460" w:lineRule="exact"/>
        <w:jc w:val="center"/>
        <w:rPr>
          <w:rFonts w:ascii="宋体" w:hAnsi="宋体"/>
          <w:b/>
          <w:sz w:val="24"/>
        </w:rPr>
      </w:pPr>
    </w:p>
    <w:p w14:paraId="409F81FD">
      <w:pPr>
        <w:numPr>
          <w:ilvl w:val="0"/>
          <w:numId w:val="2"/>
        </w:numPr>
        <w:tabs>
          <w:tab w:val="left" w:pos="1260"/>
          <w:tab w:val="clear" w:pos="1440"/>
        </w:tabs>
        <w:spacing w:line="360" w:lineRule="auto"/>
        <w:ind w:left="1330" w:hanging="1329" w:hangingChars="554"/>
        <w:rPr>
          <w:rFonts w:ascii="宋体" w:hAnsi="宋体" w:cs="Arial"/>
          <w:sz w:val="24"/>
          <w:lang w:eastAsia="zh-CN"/>
        </w:rPr>
      </w:pPr>
      <w:r>
        <w:rPr>
          <w:rFonts w:hint="eastAsia" w:ascii="宋体" w:hAnsi="宋体" w:cs="Arial"/>
          <w:sz w:val="24"/>
          <w:lang w:eastAsia="zh-CN"/>
        </w:rPr>
        <w:t>应报告信息按照有关法律、法规、规范性文件的规定属于免于披露的范围，报告人可以免于履行本制度规定的报告义务。</w:t>
      </w:r>
    </w:p>
    <w:p w14:paraId="257E1791">
      <w:pPr>
        <w:spacing w:line="460" w:lineRule="exact"/>
        <w:ind w:firstLine="480"/>
        <w:rPr>
          <w:rFonts w:ascii="宋体" w:hAnsi="宋体"/>
          <w:sz w:val="24"/>
          <w:lang w:eastAsia="zh-CN"/>
        </w:rPr>
      </w:pPr>
    </w:p>
    <w:p w14:paraId="688552AF">
      <w:pPr>
        <w:numPr>
          <w:ilvl w:val="0"/>
          <w:numId w:val="2"/>
        </w:numPr>
        <w:tabs>
          <w:tab w:val="left" w:pos="1260"/>
          <w:tab w:val="clear" w:pos="1440"/>
        </w:tabs>
        <w:spacing w:line="360" w:lineRule="auto"/>
        <w:ind w:left="1330" w:hanging="1329" w:hangingChars="554"/>
        <w:rPr>
          <w:rFonts w:ascii="宋体" w:hAnsi="宋体" w:cs="Arial"/>
          <w:sz w:val="24"/>
          <w:lang w:eastAsia="zh-CN"/>
        </w:rPr>
      </w:pPr>
      <w:r>
        <w:rPr>
          <w:rFonts w:ascii="宋体" w:hAnsi="宋体" w:cs="Arial"/>
          <w:sz w:val="24"/>
          <w:lang w:eastAsia="zh-CN"/>
        </w:rPr>
        <w:t>公司下属</w:t>
      </w:r>
      <w:r>
        <w:rPr>
          <w:rFonts w:hint="eastAsia" w:ascii="宋体" w:hAnsi="宋体" w:cs="Arial"/>
          <w:sz w:val="24"/>
          <w:lang w:eastAsia="zh-CN"/>
        </w:rPr>
        <w:t>各部门、分公司、下属子公司</w:t>
      </w:r>
      <w:r>
        <w:rPr>
          <w:rFonts w:ascii="宋体" w:hAnsi="宋体" w:cs="Arial"/>
          <w:sz w:val="24"/>
          <w:lang w:eastAsia="zh-CN"/>
        </w:rPr>
        <w:t>出现、发生或即将发生以下情形时，相关负有报告义务的人员应将有关信息向公司董事长和董事会秘书予以报告。</w:t>
      </w:r>
    </w:p>
    <w:p w14:paraId="68BD7A40">
      <w:pPr>
        <w:tabs>
          <w:tab w:val="left" w:pos="1260"/>
        </w:tabs>
        <w:spacing w:line="360" w:lineRule="auto"/>
        <w:ind w:left="1274"/>
        <w:rPr>
          <w:rFonts w:ascii="宋体" w:hAnsi="宋体" w:cs="Arial"/>
          <w:sz w:val="24"/>
          <w:lang w:eastAsia="zh-CN"/>
        </w:rPr>
      </w:pPr>
      <w:r>
        <w:rPr>
          <w:rFonts w:hint="eastAsia" w:ascii="宋体" w:hAnsi="宋体" w:cs="Arial"/>
          <w:sz w:val="24"/>
          <w:lang w:eastAsia="zh-CN"/>
        </w:rPr>
        <w:t>1、拟提交公司董事会、股东会审议的事项；</w:t>
      </w:r>
      <w:r>
        <w:rPr>
          <w:rFonts w:hint="eastAsia" w:ascii="宋体" w:hAnsi="宋体" w:cs="Arial"/>
          <w:sz w:val="24"/>
          <w:lang w:eastAsia="zh-CN"/>
        </w:rPr>
        <w:br w:type="textWrapping"/>
      </w:r>
      <w:r>
        <w:rPr>
          <w:rFonts w:hint="eastAsia" w:ascii="宋体" w:hAnsi="宋体" w:cs="Arial"/>
          <w:sz w:val="24"/>
          <w:lang w:eastAsia="zh-CN"/>
        </w:rPr>
        <w:t>2、拟提交各子公司董事会、股东会审议的事项；</w:t>
      </w:r>
      <w:r>
        <w:rPr>
          <w:rFonts w:hint="eastAsia" w:ascii="宋体" w:hAnsi="宋体" w:cs="Arial"/>
          <w:sz w:val="24"/>
          <w:lang w:eastAsia="zh-CN"/>
        </w:rPr>
        <w:br w:type="textWrapping"/>
      </w:r>
      <w:r>
        <w:rPr>
          <w:rFonts w:ascii="宋体" w:hAnsi="宋体" w:cs="Arial"/>
          <w:sz w:val="24"/>
          <w:lang w:eastAsia="zh-CN"/>
        </w:rPr>
        <w:t>3</w:t>
      </w:r>
      <w:r>
        <w:rPr>
          <w:rFonts w:hint="eastAsia" w:ascii="宋体" w:hAnsi="宋体" w:cs="Arial"/>
          <w:sz w:val="24"/>
          <w:lang w:eastAsia="zh-CN"/>
        </w:rPr>
        <w:t>、公司独立董事的声明、意见及报告；</w:t>
      </w:r>
      <w:r>
        <w:rPr>
          <w:rFonts w:hint="eastAsia" w:ascii="宋体" w:hAnsi="宋体" w:cs="Arial"/>
          <w:sz w:val="24"/>
          <w:lang w:eastAsia="zh-CN"/>
        </w:rPr>
        <w:br w:type="textWrapping"/>
      </w:r>
      <w:r>
        <w:rPr>
          <w:rFonts w:ascii="宋体" w:hAnsi="宋体" w:cs="Arial"/>
          <w:sz w:val="24"/>
          <w:lang w:eastAsia="zh-CN"/>
        </w:rPr>
        <w:t>4</w:t>
      </w:r>
      <w:r>
        <w:rPr>
          <w:rFonts w:hint="eastAsia" w:ascii="宋体" w:hAnsi="宋体" w:cs="Arial"/>
          <w:sz w:val="24"/>
          <w:lang w:eastAsia="zh-CN"/>
        </w:rPr>
        <w:t>、公司各部门或各子公司发生或拟发生以下重大交易事项，包括：购买或者出售资产（不含购买原材料、燃料和动力,</w:t>
      </w:r>
      <w:r>
        <w:rPr>
          <w:rFonts w:ascii="宋体" w:hAnsi="宋体" w:cs="Arial"/>
          <w:sz w:val="24"/>
          <w:lang w:eastAsia="zh-CN"/>
        </w:rPr>
        <w:t xml:space="preserve"> </w:t>
      </w:r>
      <w:r>
        <w:rPr>
          <w:rFonts w:hint="eastAsia" w:ascii="宋体" w:hAnsi="宋体" w:cs="Arial"/>
          <w:sz w:val="24"/>
          <w:lang w:eastAsia="zh-CN"/>
        </w:rPr>
        <w:t>以及出售产品、商品等与日常经营相关的资产,</w:t>
      </w:r>
      <w:r>
        <w:rPr>
          <w:rFonts w:ascii="宋体" w:hAnsi="宋体" w:cs="Arial"/>
          <w:sz w:val="24"/>
          <w:lang w:eastAsia="zh-CN"/>
        </w:rPr>
        <w:t xml:space="preserve"> </w:t>
      </w:r>
      <w:r>
        <w:rPr>
          <w:rFonts w:hint="eastAsia" w:ascii="宋体" w:hAnsi="宋体" w:cs="Arial"/>
          <w:sz w:val="24"/>
          <w:lang w:eastAsia="zh-CN"/>
        </w:rPr>
        <w:t>但资产置换中涉及购买、出售此类资产的，仍包含在内）、对外投资（含委托理财、对子公司投资等）、提供财务资助（含委托贷款等）、提供担保（含对控股子公司担保等）、租入或者租出资产、委托或者受托管理资产和业务、赠与或者受赠资产、债权或者债务重组、签订许可协议、转让或者受让研发项目、放弃权利（含放弃优先购买权、优先认缴出资权利）；其它的重要交易。</w:t>
      </w:r>
    </w:p>
    <w:p w14:paraId="615C9959">
      <w:pPr>
        <w:tabs>
          <w:tab w:val="left" w:pos="1260"/>
        </w:tabs>
        <w:spacing w:line="360" w:lineRule="auto"/>
        <w:ind w:left="1274"/>
        <w:rPr>
          <w:rFonts w:ascii="宋体" w:hAnsi="宋体" w:cs="Arial"/>
          <w:sz w:val="24"/>
          <w:lang w:eastAsia="zh-CN"/>
        </w:rPr>
      </w:pPr>
      <w:r>
        <w:rPr>
          <w:rFonts w:ascii="宋体" w:hAnsi="宋体" w:cs="Arial"/>
          <w:sz w:val="24"/>
          <w:lang w:eastAsia="zh-CN"/>
        </w:rPr>
        <w:t>5</w:t>
      </w:r>
      <w:r>
        <w:rPr>
          <w:rFonts w:hint="eastAsia" w:ascii="宋体" w:hAnsi="宋体" w:cs="Arial"/>
          <w:sz w:val="24"/>
          <w:lang w:eastAsia="zh-CN"/>
        </w:rPr>
        <w:t>、</w:t>
      </w:r>
      <w:r>
        <w:rPr>
          <w:rFonts w:ascii="宋体" w:hAnsi="宋体" w:cs="Arial"/>
          <w:sz w:val="24"/>
          <w:lang w:eastAsia="zh-CN"/>
        </w:rPr>
        <w:t>与公司关联人之间发生的转移资源或者义务的事项，包括</w:t>
      </w:r>
      <w:r>
        <w:rPr>
          <w:rFonts w:hint="eastAsia" w:ascii="宋体" w:hAnsi="宋体" w:cs="Arial"/>
          <w:sz w:val="24"/>
          <w:lang w:eastAsia="zh-CN"/>
        </w:rPr>
        <w:t>：前款所述交易事项；</w:t>
      </w:r>
      <w:r>
        <w:rPr>
          <w:rFonts w:ascii="宋体" w:hAnsi="宋体" w:cs="Arial"/>
          <w:sz w:val="24"/>
          <w:lang w:eastAsia="zh-CN"/>
        </w:rPr>
        <w:t>购买原材料、燃料、动力；</w:t>
      </w:r>
      <w:r>
        <w:rPr>
          <w:rFonts w:hint="eastAsia" w:ascii="宋体" w:hAnsi="宋体" w:cs="Arial"/>
          <w:sz w:val="24"/>
          <w:lang w:eastAsia="zh-CN"/>
        </w:rPr>
        <w:t>销售</w:t>
      </w:r>
      <w:r>
        <w:rPr>
          <w:rFonts w:ascii="宋体" w:hAnsi="宋体" w:cs="Arial"/>
          <w:sz w:val="24"/>
          <w:lang w:eastAsia="zh-CN"/>
        </w:rPr>
        <w:t>产品、商品；提供或者接受劳务；委托或者受托销售；</w:t>
      </w:r>
      <w:r>
        <w:rPr>
          <w:rFonts w:hint="eastAsia" w:ascii="宋体" w:hAnsi="宋体" w:cs="Arial"/>
          <w:sz w:val="24"/>
          <w:lang w:eastAsia="zh-CN"/>
        </w:rPr>
        <w:t>存贷款业务；关联双方</w:t>
      </w:r>
      <w:r>
        <w:rPr>
          <w:rFonts w:ascii="宋体" w:hAnsi="宋体" w:cs="Arial"/>
          <w:sz w:val="24"/>
          <w:lang w:eastAsia="zh-CN"/>
        </w:rPr>
        <w:t>共同投资；其他通过约定可能引致资源或者义务转移的事项等。</w:t>
      </w:r>
    </w:p>
    <w:p w14:paraId="0F7A9CEE">
      <w:pPr>
        <w:tabs>
          <w:tab w:val="left" w:pos="1260"/>
        </w:tabs>
        <w:spacing w:line="360" w:lineRule="auto"/>
        <w:ind w:left="1274"/>
        <w:rPr>
          <w:rFonts w:ascii="宋体" w:hAnsi="宋体" w:cs="Arial"/>
          <w:sz w:val="24"/>
          <w:lang w:eastAsia="zh-CN"/>
        </w:rPr>
      </w:pPr>
      <w:r>
        <w:rPr>
          <w:rFonts w:hint="eastAsia" w:ascii="宋体" w:hAnsi="宋体" w:cs="Arial"/>
          <w:sz w:val="24"/>
          <w:lang w:eastAsia="zh-CN"/>
        </w:rPr>
        <w:t>6、重大诉讼、仲裁事项；</w:t>
      </w:r>
    </w:p>
    <w:p w14:paraId="6455EE53">
      <w:pPr>
        <w:tabs>
          <w:tab w:val="left" w:pos="1260"/>
        </w:tabs>
        <w:spacing w:line="360" w:lineRule="auto"/>
        <w:ind w:left="1274"/>
        <w:rPr>
          <w:rFonts w:ascii="宋体" w:hAnsi="宋体" w:cs="Arial"/>
          <w:sz w:val="24"/>
          <w:lang w:eastAsia="zh-CN"/>
        </w:rPr>
      </w:pPr>
      <w:r>
        <w:rPr>
          <w:rFonts w:ascii="宋体" w:hAnsi="宋体" w:cs="Arial"/>
          <w:sz w:val="24"/>
          <w:lang w:eastAsia="zh-CN"/>
        </w:rPr>
        <w:t>7</w:t>
      </w:r>
      <w:r>
        <w:rPr>
          <w:rFonts w:hint="eastAsia" w:ascii="宋体" w:hAnsi="宋体" w:cs="Arial"/>
          <w:sz w:val="24"/>
          <w:lang w:eastAsia="zh-CN"/>
        </w:rPr>
        <w:t>、拟变更募集资金投资项目及基建技改项目的立项、变更等；</w:t>
      </w:r>
    </w:p>
    <w:p w14:paraId="2A0240F4">
      <w:pPr>
        <w:tabs>
          <w:tab w:val="left" w:pos="1260"/>
        </w:tabs>
        <w:spacing w:line="360" w:lineRule="auto"/>
        <w:ind w:left="1274"/>
        <w:rPr>
          <w:rFonts w:ascii="宋体" w:hAnsi="宋体" w:cs="Arial"/>
          <w:sz w:val="24"/>
          <w:lang w:eastAsia="zh-CN"/>
        </w:rPr>
      </w:pPr>
      <w:r>
        <w:rPr>
          <w:rFonts w:ascii="宋体" w:hAnsi="宋体" w:cs="Arial"/>
          <w:sz w:val="24"/>
          <w:lang w:eastAsia="zh-CN"/>
        </w:rPr>
        <w:t>8</w:t>
      </w:r>
      <w:r>
        <w:rPr>
          <w:rFonts w:hint="eastAsia" w:ascii="宋体" w:hAnsi="宋体" w:cs="Arial"/>
          <w:sz w:val="24"/>
          <w:lang w:eastAsia="zh-CN"/>
        </w:rPr>
        <w:t>、业绩预告和业绩预告的修正；</w:t>
      </w:r>
      <w:r>
        <w:rPr>
          <w:rFonts w:hint="eastAsia" w:ascii="宋体" w:hAnsi="宋体" w:cs="Arial"/>
          <w:sz w:val="24"/>
          <w:lang w:eastAsia="zh-CN"/>
        </w:rPr>
        <w:br w:type="textWrapping"/>
      </w:r>
      <w:r>
        <w:rPr>
          <w:rFonts w:hint="eastAsia" w:ascii="宋体" w:hAnsi="宋体" w:cs="Arial"/>
          <w:sz w:val="24"/>
          <w:lang w:eastAsia="zh-CN"/>
        </w:rPr>
        <w:t>9．利润分配和资本公积金转增股本事项；</w:t>
      </w:r>
    </w:p>
    <w:p w14:paraId="737B36CF">
      <w:pPr>
        <w:tabs>
          <w:tab w:val="left" w:pos="1260"/>
        </w:tabs>
        <w:spacing w:line="360" w:lineRule="auto"/>
        <w:ind w:left="1274"/>
        <w:rPr>
          <w:rFonts w:ascii="宋体" w:hAnsi="宋体" w:cs="Arial"/>
          <w:sz w:val="24"/>
          <w:lang w:eastAsia="zh-CN"/>
        </w:rPr>
      </w:pPr>
      <w:r>
        <w:rPr>
          <w:rFonts w:hint="eastAsia" w:ascii="宋体" w:hAnsi="宋体" w:cs="Arial"/>
          <w:sz w:val="24"/>
          <w:lang w:eastAsia="zh-CN"/>
        </w:rPr>
        <w:t>10、公司股票交易发生异常波动和传闻事项；</w:t>
      </w:r>
    </w:p>
    <w:p w14:paraId="45A25475">
      <w:pPr>
        <w:tabs>
          <w:tab w:val="left" w:pos="1260"/>
        </w:tabs>
        <w:spacing w:line="360" w:lineRule="auto"/>
        <w:ind w:left="1274"/>
        <w:rPr>
          <w:rFonts w:ascii="宋体" w:hAnsi="宋体" w:cs="Arial"/>
          <w:sz w:val="24"/>
          <w:lang w:eastAsia="zh-CN"/>
        </w:rPr>
      </w:pPr>
      <w:r>
        <w:rPr>
          <w:rFonts w:hint="eastAsia" w:ascii="宋体" w:hAnsi="宋体" w:cs="Arial"/>
          <w:sz w:val="24"/>
          <w:lang w:eastAsia="zh-CN"/>
        </w:rPr>
        <w:t>11、公司回购股份的相关事项；</w:t>
      </w:r>
    </w:p>
    <w:p w14:paraId="2DA82DE9">
      <w:pPr>
        <w:tabs>
          <w:tab w:val="left" w:pos="1260"/>
        </w:tabs>
        <w:spacing w:line="360" w:lineRule="auto"/>
        <w:ind w:left="1274"/>
        <w:rPr>
          <w:rFonts w:ascii="宋体" w:hAnsi="宋体" w:cs="Arial"/>
          <w:sz w:val="24"/>
          <w:lang w:eastAsia="zh-CN"/>
        </w:rPr>
      </w:pPr>
      <w:r>
        <w:rPr>
          <w:rFonts w:hint="eastAsia" w:ascii="宋体" w:hAnsi="宋体" w:cs="Arial"/>
          <w:sz w:val="24"/>
          <w:lang w:eastAsia="zh-CN"/>
        </w:rPr>
        <w:t>12、公司发行可转换公司债券；</w:t>
      </w:r>
    </w:p>
    <w:p w14:paraId="186B9425">
      <w:pPr>
        <w:tabs>
          <w:tab w:val="left" w:pos="1260"/>
        </w:tabs>
        <w:spacing w:line="360" w:lineRule="auto"/>
        <w:ind w:left="1274"/>
        <w:rPr>
          <w:rFonts w:ascii="宋体" w:hAnsi="宋体" w:cs="Arial"/>
          <w:sz w:val="24"/>
          <w:lang w:eastAsia="zh-CN"/>
        </w:rPr>
      </w:pPr>
      <w:r>
        <w:rPr>
          <w:rFonts w:hint="eastAsia" w:ascii="宋体" w:hAnsi="宋体" w:cs="Arial"/>
          <w:sz w:val="24"/>
          <w:lang w:eastAsia="zh-CN"/>
        </w:rPr>
        <w:t>13、公司及公司股东发生承诺事项；</w:t>
      </w:r>
    </w:p>
    <w:p w14:paraId="444A025B">
      <w:pPr>
        <w:tabs>
          <w:tab w:val="left" w:pos="1260"/>
        </w:tabs>
        <w:spacing w:line="360" w:lineRule="auto"/>
        <w:ind w:left="1274"/>
        <w:rPr>
          <w:rFonts w:ascii="宋体" w:hAnsi="宋体" w:cs="Arial"/>
          <w:sz w:val="24"/>
          <w:lang w:eastAsia="zh-CN"/>
        </w:rPr>
      </w:pPr>
      <w:r>
        <w:rPr>
          <w:rFonts w:hint="eastAsia" w:ascii="宋体" w:hAnsi="宋体" w:cs="Arial"/>
          <w:sz w:val="24"/>
          <w:lang w:eastAsia="zh-CN"/>
        </w:rPr>
        <w:t>14、公司出现下列使公司面临重大风险情形的：发生重大亏损或者遭受重大损失；重大债务、未清偿到期重大债务或重大债权到期未获清偿；可能依法承担的重大违约责任或大额赔偿责任；计提大额资产减值准备；公司决定解散或者被有权机关依法责令关闭；重大债权到期未获清偿，或者主要债务人出现资不抵债或者进入破产程序；公司营业用主要资产被查封、扣押、冻结、抵押、质押或者报废超过总资产的30%；主要或全部业务陷入停顿；公司涉嫌犯罪被依法立案调查，公司的控股股东、实际控制人、董事、高级管理人员涉嫌犯罪被依法采取强制措施；公司或者其控股股东、实际控制人、董事、高级管理人员受到刑事处罚，涉嫌违法违规被中国证监会立案调查或者受到中国证监会行政处罚，或者受到其他有权机关重大行政处罚；公司的控股股东、实际控制人、董事、高级管理人员涉嫌严重违纪违法或者职务犯罪被纪检监察机关采取留置措施且影响其履行职责；公司董事长或者总经理无法履行职责，除董事长、总经理外的其他公司董事、高级管理人员因身体、工作安排等原因无法正常履行职责达到或者预计达到三个月以上，或者因涉嫌违法违规被有权机关采取强制措施且影响其履行职责；</w:t>
      </w:r>
    </w:p>
    <w:p w14:paraId="51F23568">
      <w:pPr>
        <w:tabs>
          <w:tab w:val="left" w:pos="1260"/>
        </w:tabs>
        <w:spacing w:line="360" w:lineRule="auto"/>
        <w:ind w:left="1274"/>
        <w:rPr>
          <w:rFonts w:ascii="宋体" w:hAnsi="宋体" w:cs="Arial"/>
          <w:sz w:val="24"/>
          <w:lang w:eastAsia="zh-CN"/>
        </w:rPr>
      </w:pPr>
      <w:r>
        <w:rPr>
          <w:rFonts w:hint="eastAsia" w:ascii="宋体" w:hAnsi="宋体" w:cs="Arial"/>
          <w:sz w:val="24"/>
          <w:lang w:eastAsia="zh-CN"/>
        </w:rPr>
        <w:t>15、公司出现下列情形之一的：变更公司名称、公司章程、股票简称、注册资本、注册地址、办公地址和联系电话等；经营方针和经营范围发生重大变化；依据中国证监会关于行业分类的有关规定，公司行业分类发生变更；董事会审议通过发行新股、可转换公司债券、优先股、公司债券等境内外融资方案；公司发行新股或者其他境内外发行融资申请、重大资产重组事项收到相应的审核意见；生产经营情况、外部条件或者生产环境发生重大变化（包括行业政策、产品价格、原材料采购、销售方式等发生重大变化）；订立重要合同，可能对公司的资产、负债、权益和经营成果产生重大影响；公司实际控制人或者持有公司5%以上股份的股东持股情况或者控制公司的情况发生或者拟发生较大变化；法院裁决禁止公司控股股东转让其所持公司股份；公司的董事、总经理或者财务负责人发生变动；任一股东所持公司5%以上股份被质押、冻结、司法标记、司法拍卖、托管、设定信托或者限制表决权等，或者出现被强制过户风险；获得额外收益，可能对公司的资产、负债、权益或者经营成果产生重大影响</w:t>
      </w:r>
    </w:p>
    <w:p w14:paraId="6B53AC72">
      <w:pPr>
        <w:tabs>
          <w:tab w:val="left" w:pos="1260"/>
        </w:tabs>
        <w:spacing w:line="360" w:lineRule="auto"/>
        <w:ind w:left="1274"/>
        <w:rPr>
          <w:rFonts w:ascii="宋体" w:hAnsi="宋体" w:cs="Arial"/>
          <w:sz w:val="24"/>
          <w:lang w:eastAsia="zh-CN"/>
        </w:rPr>
      </w:pPr>
      <w:r>
        <w:rPr>
          <w:rFonts w:hint="eastAsia" w:ascii="宋体" w:hAnsi="宋体" w:cs="Arial"/>
          <w:sz w:val="24"/>
          <w:lang w:eastAsia="zh-CN"/>
        </w:rPr>
        <w:t>16、以上事项未曾列出，但负有报告义务的人员判定可能会对公司股票或其衍生品种的交易价格产生较大影响的情形或事件，或证监会、深交所或者公司认定的其他情形。</w:t>
      </w:r>
    </w:p>
    <w:p w14:paraId="6A1B2234">
      <w:pPr>
        <w:spacing w:line="460" w:lineRule="exact"/>
        <w:rPr>
          <w:rFonts w:ascii="宋体" w:hAnsi="宋体" w:cs="Arial"/>
          <w:sz w:val="24"/>
          <w:lang w:eastAsia="zh-CN"/>
        </w:rPr>
      </w:pPr>
    </w:p>
    <w:p w14:paraId="4DABF9B3">
      <w:pPr>
        <w:numPr>
          <w:ilvl w:val="0"/>
          <w:numId w:val="2"/>
        </w:numPr>
        <w:tabs>
          <w:tab w:val="left" w:pos="1260"/>
          <w:tab w:val="clear" w:pos="1440"/>
        </w:tabs>
        <w:spacing w:line="360" w:lineRule="auto"/>
        <w:ind w:left="1330" w:hanging="1329" w:hangingChars="554"/>
        <w:rPr>
          <w:rFonts w:ascii="宋体" w:hAnsi="宋体" w:cs="Arial"/>
          <w:sz w:val="24"/>
          <w:lang w:eastAsia="zh-CN"/>
        </w:rPr>
      </w:pPr>
      <w:r>
        <w:rPr>
          <w:rFonts w:ascii="宋体" w:hAnsi="宋体" w:cs="Arial"/>
          <w:sz w:val="24"/>
          <w:lang w:eastAsia="zh-CN"/>
        </w:rPr>
        <w:t>按照本制度规定负有报告义务的有关人员和公司，应以书面形式向公司董事长</w:t>
      </w:r>
      <w:r>
        <w:rPr>
          <w:rFonts w:hint="eastAsia" w:ascii="宋体" w:hAnsi="宋体" w:cs="Arial"/>
          <w:sz w:val="24"/>
          <w:lang w:eastAsia="zh-CN"/>
        </w:rPr>
        <w:t>、经理层</w:t>
      </w:r>
      <w:r>
        <w:rPr>
          <w:rFonts w:ascii="宋体" w:hAnsi="宋体" w:cs="Arial"/>
          <w:sz w:val="24"/>
          <w:lang w:eastAsia="zh-CN"/>
        </w:rPr>
        <w:t>和董事会秘书提供重大信息，包括但不限于与该信息相关的协议或合同、政府批文、法律、法规、法院判定及情况介绍等。</w:t>
      </w:r>
      <w:r>
        <w:rPr>
          <w:rFonts w:hint="eastAsia" w:ascii="宋体" w:hAnsi="宋体" w:cs="Arial"/>
          <w:sz w:val="24"/>
          <w:lang w:eastAsia="zh-CN"/>
        </w:rPr>
        <w:t>报告人应报告的上述信息的具体内容及其他要求按照《上市规则》、《信息披露事务管理制度》等有关法律、法规和/或规范性文件的规定执行。</w:t>
      </w:r>
    </w:p>
    <w:p w14:paraId="46C4D9C6">
      <w:pPr>
        <w:spacing w:line="460" w:lineRule="exact"/>
        <w:ind w:firstLine="480"/>
        <w:rPr>
          <w:rFonts w:ascii="宋体" w:hAnsi="宋体"/>
          <w:sz w:val="24"/>
          <w:lang w:eastAsia="zh-CN"/>
        </w:rPr>
      </w:pPr>
    </w:p>
    <w:p w14:paraId="18B1063F">
      <w:pPr>
        <w:numPr>
          <w:ilvl w:val="0"/>
          <w:numId w:val="2"/>
        </w:numPr>
        <w:tabs>
          <w:tab w:val="left" w:pos="1260"/>
          <w:tab w:val="clear" w:pos="1440"/>
        </w:tabs>
        <w:spacing w:line="360" w:lineRule="auto"/>
        <w:ind w:left="1330" w:hanging="1329" w:hangingChars="554"/>
        <w:rPr>
          <w:rFonts w:ascii="宋体" w:hAnsi="宋体" w:cs="Arial"/>
          <w:sz w:val="24"/>
          <w:lang w:eastAsia="zh-CN"/>
        </w:rPr>
      </w:pPr>
      <w:r>
        <w:rPr>
          <w:rFonts w:hint="eastAsia" w:ascii="宋体" w:hAnsi="宋体" w:cs="Arial"/>
          <w:sz w:val="24"/>
          <w:lang w:eastAsia="zh-CN"/>
        </w:rPr>
        <w:t>报告人应加强对与信息披露有关的法律、法规和/或规范性文件的学习与理解，及时了解和掌握监管部门对信息披露的最新政策要求，以使所报告的信息符合规定。</w:t>
      </w:r>
    </w:p>
    <w:p w14:paraId="0C58F1E8">
      <w:pPr>
        <w:spacing w:line="460" w:lineRule="exact"/>
        <w:rPr>
          <w:rFonts w:ascii="宋体" w:hAnsi="宋体"/>
          <w:sz w:val="24"/>
          <w:lang w:eastAsia="zh-CN"/>
        </w:rPr>
      </w:pPr>
    </w:p>
    <w:p w14:paraId="76AA2A0F">
      <w:pPr>
        <w:numPr>
          <w:ilvl w:val="0"/>
          <w:numId w:val="3"/>
        </w:numPr>
        <w:spacing w:line="460" w:lineRule="exact"/>
        <w:jc w:val="center"/>
        <w:rPr>
          <w:rFonts w:ascii="宋体" w:hAnsi="宋体"/>
          <w:b/>
          <w:sz w:val="24"/>
        </w:rPr>
      </w:pPr>
      <w:r>
        <w:rPr>
          <w:rFonts w:hint="eastAsia" w:ascii="宋体" w:hAnsi="宋体"/>
          <w:b/>
          <w:sz w:val="24"/>
        </w:rPr>
        <w:t>信息报告的责任划分</w:t>
      </w:r>
    </w:p>
    <w:p w14:paraId="1CD4C85B">
      <w:pPr>
        <w:spacing w:line="460" w:lineRule="exact"/>
        <w:jc w:val="center"/>
        <w:rPr>
          <w:rFonts w:ascii="宋体" w:hAnsi="宋体"/>
          <w:b/>
          <w:sz w:val="24"/>
        </w:rPr>
      </w:pPr>
    </w:p>
    <w:p w14:paraId="05EC6F7F">
      <w:pPr>
        <w:numPr>
          <w:ilvl w:val="0"/>
          <w:numId w:val="2"/>
        </w:numPr>
        <w:tabs>
          <w:tab w:val="left" w:pos="1260"/>
          <w:tab w:val="clear" w:pos="1440"/>
        </w:tabs>
        <w:spacing w:line="360" w:lineRule="auto"/>
        <w:ind w:left="1330" w:hanging="1329" w:hangingChars="554"/>
        <w:rPr>
          <w:rFonts w:ascii="宋体" w:hAnsi="宋体" w:cs="Arial"/>
          <w:sz w:val="24"/>
          <w:lang w:eastAsia="zh-CN"/>
        </w:rPr>
      </w:pPr>
      <w:r>
        <w:rPr>
          <w:rFonts w:hint="eastAsia" w:ascii="宋体" w:hAnsi="宋体" w:cs="Arial"/>
          <w:sz w:val="24"/>
          <w:lang w:eastAsia="zh-CN"/>
        </w:rPr>
        <w:t>公司董事会办公室负责公司向社会公众的信息披露，董事会秘书和证券事务代表为对外信息披露的责任人；公司各部门、分公司及下属子公司为公司内部的信息披露部门，负责向董事会办公室报告本制度规定的信息。</w:t>
      </w:r>
    </w:p>
    <w:p w14:paraId="25F43827">
      <w:pPr>
        <w:tabs>
          <w:tab w:val="left" w:pos="1260"/>
        </w:tabs>
        <w:spacing w:line="360" w:lineRule="auto"/>
        <w:ind w:left="1274"/>
        <w:rPr>
          <w:rFonts w:ascii="宋体" w:hAnsi="宋体" w:cs="Arial"/>
          <w:sz w:val="24"/>
          <w:lang w:eastAsia="zh-CN"/>
        </w:rPr>
      </w:pPr>
      <w:r>
        <w:rPr>
          <w:rFonts w:hint="eastAsia" w:ascii="宋体" w:hAnsi="宋体" w:cs="Arial"/>
          <w:sz w:val="24"/>
          <w:lang w:eastAsia="zh-CN"/>
        </w:rPr>
        <w:t>未经通知公司董事会办公室并履行法定批准程序，公司的任何部门、分公司及子公司均不得以公司名义对外披露信息或对已披露的信息做任何解释和/或说明。</w:t>
      </w:r>
    </w:p>
    <w:p w14:paraId="1801B825">
      <w:pPr>
        <w:spacing w:line="460" w:lineRule="exact"/>
        <w:ind w:firstLine="480" w:firstLineChars="200"/>
        <w:rPr>
          <w:rFonts w:ascii="宋体" w:hAnsi="宋体"/>
          <w:sz w:val="24"/>
          <w:lang w:eastAsia="zh-CN"/>
        </w:rPr>
      </w:pPr>
    </w:p>
    <w:p w14:paraId="539EC11C">
      <w:pPr>
        <w:numPr>
          <w:ilvl w:val="0"/>
          <w:numId w:val="2"/>
        </w:numPr>
        <w:tabs>
          <w:tab w:val="left" w:pos="1260"/>
          <w:tab w:val="clear" w:pos="1440"/>
        </w:tabs>
        <w:spacing w:line="360" w:lineRule="auto"/>
        <w:ind w:left="1330" w:hanging="1329" w:hangingChars="554"/>
        <w:rPr>
          <w:rFonts w:ascii="宋体" w:hAnsi="宋体" w:cs="Arial"/>
          <w:sz w:val="24"/>
          <w:lang w:eastAsia="zh-CN"/>
        </w:rPr>
      </w:pPr>
      <w:r>
        <w:rPr>
          <w:rFonts w:hint="eastAsia" w:ascii="宋体" w:hAnsi="宋体" w:cs="Arial"/>
          <w:sz w:val="24"/>
          <w:lang w:eastAsia="zh-CN"/>
        </w:rPr>
        <w:t>公司各部门、分公司、下属子公司的负责人为履行信息报告义务的第一责任人，各部门、分公司、下属子公司的财务负责人为履行信息报告义务的联络人，未设置财务机构的部门，应指定专人为联络人。</w:t>
      </w:r>
    </w:p>
    <w:p w14:paraId="373C0AB5">
      <w:pPr>
        <w:tabs>
          <w:tab w:val="left" w:pos="1260"/>
        </w:tabs>
        <w:spacing w:line="360" w:lineRule="auto"/>
        <w:ind w:left="1274"/>
        <w:rPr>
          <w:rFonts w:ascii="宋体" w:hAnsi="宋体" w:cs="Arial"/>
          <w:sz w:val="24"/>
          <w:lang w:eastAsia="zh-CN"/>
        </w:rPr>
      </w:pPr>
      <w:r>
        <w:rPr>
          <w:rFonts w:hint="eastAsia" w:ascii="宋体" w:hAnsi="宋体" w:cs="Arial"/>
          <w:sz w:val="24"/>
          <w:lang w:eastAsia="zh-CN"/>
        </w:rPr>
        <w:t>若公司的管理人员在子公司任职总经理，则该总经理为子公司履行信息报告义务的责任人和联络人；若公司未有管理人员担任子公司总经理，则由公司指定一人作为子公司履行信息报告义务的责任人和联络人。</w:t>
      </w:r>
    </w:p>
    <w:p w14:paraId="32BFF28E">
      <w:pPr>
        <w:spacing w:line="460" w:lineRule="exact"/>
        <w:rPr>
          <w:rFonts w:ascii="宋体" w:hAnsi="宋体"/>
          <w:sz w:val="24"/>
          <w:lang w:eastAsia="zh-CN"/>
        </w:rPr>
      </w:pPr>
      <w:r>
        <w:rPr>
          <w:rFonts w:hint="eastAsia" w:ascii="宋体" w:hAnsi="宋体"/>
          <w:sz w:val="24"/>
          <w:lang w:eastAsia="zh-CN"/>
        </w:rPr>
        <w:t xml:space="preserve">    </w:t>
      </w:r>
    </w:p>
    <w:p w14:paraId="6CD5E6CE">
      <w:pPr>
        <w:numPr>
          <w:ilvl w:val="0"/>
          <w:numId w:val="2"/>
        </w:numPr>
        <w:tabs>
          <w:tab w:val="left" w:pos="1260"/>
          <w:tab w:val="clear" w:pos="1440"/>
        </w:tabs>
        <w:spacing w:line="360" w:lineRule="auto"/>
        <w:ind w:left="1330" w:hanging="1329" w:hangingChars="554"/>
        <w:rPr>
          <w:rFonts w:ascii="宋体" w:hAnsi="宋体" w:cs="Arial"/>
          <w:sz w:val="24"/>
          <w:lang w:eastAsia="zh-CN"/>
        </w:rPr>
      </w:pPr>
      <w:r>
        <w:rPr>
          <w:rFonts w:hint="eastAsia" w:ascii="宋体" w:hAnsi="宋体" w:cs="Arial"/>
          <w:sz w:val="24"/>
          <w:lang w:eastAsia="zh-CN"/>
        </w:rPr>
        <w:t>报告人负责本部门（分公司、子公司）应报告信息的收集、整理及相关文件的准备、草拟工作，并按照本制度的规定向董事会办公室报告信息并提交相关文件资料。</w:t>
      </w:r>
    </w:p>
    <w:p w14:paraId="0CBBF8A9">
      <w:pPr>
        <w:spacing w:line="460" w:lineRule="exact"/>
        <w:ind w:firstLine="480" w:firstLineChars="200"/>
        <w:rPr>
          <w:rFonts w:ascii="宋体" w:hAnsi="宋体"/>
          <w:sz w:val="24"/>
          <w:lang w:eastAsia="zh-CN"/>
        </w:rPr>
      </w:pPr>
    </w:p>
    <w:p w14:paraId="61D03297">
      <w:pPr>
        <w:numPr>
          <w:ilvl w:val="0"/>
          <w:numId w:val="2"/>
        </w:numPr>
        <w:tabs>
          <w:tab w:val="left" w:pos="1260"/>
          <w:tab w:val="clear" w:pos="1440"/>
        </w:tabs>
        <w:spacing w:line="360" w:lineRule="auto"/>
        <w:ind w:left="1330" w:hanging="1329" w:hangingChars="554"/>
        <w:rPr>
          <w:rFonts w:ascii="宋体" w:hAnsi="宋体" w:cs="Arial"/>
          <w:sz w:val="24"/>
          <w:lang w:eastAsia="zh-CN"/>
        </w:rPr>
      </w:pPr>
      <w:r>
        <w:rPr>
          <w:rFonts w:hint="eastAsia" w:ascii="宋体" w:hAnsi="宋体" w:cs="Arial"/>
          <w:sz w:val="24"/>
          <w:lang w:eastAsia="zh-CN"/>
        </w:rPr>
        <w:t>董事会秘书负责向报告人收集信息、制作信息披露文件、对外公开披露信息及与投资者、监管部门及其他社会各界的沟通与联络。</w:t>
      </w:r>
    </w:p>
    <w:p w14:paraId="1E11734C">
      <w:pPr>
        <w:tabs>
          <w:tab w:val="left" w:pos="1260"/>
        </w:tabs>
        <w:spacing w:line="360" w:lineRule="auto"/>
        <w:ind w:left="1274"/>
        <w:rPr>
          <w:rFonts w:ascii="宋体" w:hAnsi="宋体" w:cs="Arial"/>
          <w:sz w:val="24"/>
          <w:lang w:eastAsia="zh-CN"/>
        </w:rPr>
      </w:pPr>
      <w:r>
        <w:rPr>
          <w:rFonts w:hint="eastAsia" w:ascii="宋体" w:hAnsi="宋体" w:cs="Arial"/>
          <w:sz w:val="24"/>
          <w:lang w:eastAsia="zh-CN"/>
        </w:rPr>
        <w:t>证券事务代表协助董事会秘书履行职责并与董事会秘书承担同等责任。</w:t>
      </w:r>
    </w:p>
    <w:p w14:paraId="504F7A4E">
      <w:pPr>
        <w:spacing w:line="460" w:lineRule="exact"/>
        <w:ind w:firstLine="480"/>
        <w:rPr>
          <w:rFonts w:ascii="宋体" w:hAnsi="宋体"/>
          <w:sz w:val="24"/>
          <w:lang w:eastAsia="zh-CN"/>
        </w:rPr>
      </w:pPr>
    </w:p>
    <w:p w14:paraId="04E575DC">
      <w:pPr>
        <w:numPr>
          <w:ilvl w:val="0"/>
          <w:numId w:val="2"/>
        </w:numPr>
        <w:tabs>
          <w:tab w:val="left" w:pos="1260"/>
          <w:tab w:val="clear" w:pos="1440"/>
        </w:tabs>
        <w:spacing w:line="360" w:lineRule="auto"/>
        <w:ind w:left="1330" w:hanging="1329" w:hangingChars="554"/>
        <w:rPr>
          <w:rFonts w:ascii="宋体" w:hAnsi="宋体" w:cs="Arial"/>
          <w:sz w:val="24"/>
          <w:lang w:eastAsia="zh-CN"/>
        </w:rPr>
      </w:pPr>
      <w:r>
        <w:rPr>
          <w:rFonts w:hint="eastAsia" w:ascii="宋体" w:hAnsi="宋体" w:cs="Arial"/>
          <w:sz w:val="24"/>
          <w:lang w:eastAsia="zh-CN"/>
        </w:rPr>
        <w:t>公司董事长、总经理、副总经理、财务负责人等高级管理人员对报告人负有督促义务，应定期或不定期督促报告人履行信息报告职责。</w:t>
      </w:r>
    </w:p>
    <w:p w14:paraId="0CBA5F69">
      <w:pPr>
        <w:spacing w:line="460" w:lineRule="exact"/>
        <w:ind w:firstLine="480"/>
        <w:rPr>
          <w:rFonts w:ascii="宋体" w:hAnsi="宋体"/>
          <w:sz w:val="24"/>
          <w:lang w:eastAsia="zh-CN"/>
        </w:rPr>
      </w:pPr>
    </w:p>
    <w:p w14:paraId="651F4BA8">
      <w:pPr>
        <w:numPr>
          <w:ilvl w:val="0"/>
          <w:numId w:val="3"/>
        </w:numPr>
        <w:spacing w:line="460" w:lineRule="exact"/>
        <w:jc w:val="center"/>
        <w:rPr>
          <w:rFonts w:ascii="宋体" w:hAnsi="宋体"/>
          <w:b/>
          <w:sz w:val="24"/>
        </w:rPr>
      </w:pPr>
      <w:r>
        <w:rPr>
          <w:rFonts w:hint="eastAsia" w:ascii="宋体" w:hAnsi="宋体"/>
          <w:b/>
          <w:sz w:val="24"/>
        </w:rPr>
        <w:t>信息报告的工作流程</w:t>
      </w:r>
    </w:p>
    <w:p w14:paraId="032812ED">
      <w:pPr>
        <w:spacing w:line="460" w:lineRule="exact"/>
        <w:jc w:val="center"/>
        <w:rPr>
          <w:rFonts w:ascii="宋体" w:hAnsi="宋体"/>
          <w:b/>
          <w:sz w:val="24"/>
        </w:rPr>
      </w:pPr>
    </w:p>
    <w:p w14:paraId="5D138BF1">
      <w:pPr>
        <w:numPr>
          <w:ilvl w:val="0"/>
          <w:numId w:val="2"/>
        </w:numPr>
        <w:tabs>
          <w:tab w:val="left" w:pos="1260"/>
          <w:tab w:val="clear" w:pos="1440"/>
        </w:tabs>
        <w:spacing w:line="360" w:lineRule="auto"/>
        <w:ind w:left="1330" w:hanging="1329" w:hangingChars="554"/>
        <w:rPr>
          <w:rFonts w:ascii="宋体" w:hAnsi="宋体" w:cs="Arial"/>
          <w:sz w:val="24"/>
          <w:lang w:eastAsia="zh-CN"/>
        </w:rPr>
      </w:pPr>
      <w:r>
        <w:rPr>
          <w:rFonts w:hint="eastAsia" w:ascii="宋体" w:hAnsi="宋体" w:cs="Arial"/>
          <w:sz w:val="24"/>
          <w:lang w:eastAsia="zh-CN"/>
        </w:rPr>
        <w:t>报告人应于每年年末的最后一个工作日前向董事会办公室提交本部门（分公司、子公司）下一年度的工作计划（包括生产经营计划、投资计划、融资计划、重大资产的购买或出售计划及其他计划）。</w:t>
      </w:r>
    </w:p>
    <w:p w14:paraId="111FA061">
      <w:pPr>
        <w:tabs>
          <w:tab w:val="left" w:pos="1260"/>
        </w:tabs>
        <w:spacing w:line="360" w:lineRule="auto"/>
        <w:ind w:left="1274"/>
        <w:rPr>
          <w:rFonts w:ascii="宋体" w:hAnsi="宋体" w:cs="Arial"/>
          <w:sz w:val="24"/>
          <w:lang w:eastAsia="zh-CN"/>
        </w:rPr>
      </w:pPr>
      <w:r>
        <w:rPr>
          <w:rFonts w:hint="eastAsia" w:ascii="宋体" w:hAnsi="宋体" w:cs="Arial"/>
          <w:sz w:val="24"/>
          <w:lang w:eastAsia="zh-CN"/>
        </w:rPr>
        <w:t>上述工作计划执行过程中如发生变更或拟发生变更的，报告人应于第一时间通知董事会办公室。</w:t>
      </w:r>
    </w:p>
    <w:p w14:paraId="6D1AD494">
      <w:pPr>
        <w:spacing w:line="460" w:lineRule="exact"/>
        <w:ind w:firstLine="480" w:firstLineChars="200"/>
        <w:rPr>
          <w:rFonts w:ascii="宋体" w:hAnsi="宋体"/>
          <w:sz w:val="24"/>
          <w:lang w:eastAsia="zh-CN"/>
        </w:rPr>
      </w:pPr>
    </w:p>
    <w:p w14:paraId="3BF4735A">
      <w:pPr>
        <w:numPr>
          <w:ilvl w:val="0"/>
          <w:numId w:val="2"/>
        </w:numPr>
        <w:tabs>
          <w:tab w:val="left" w:pos="1260"/>
          <w:tab w:val="clear" w:pos="1440"/>
        </w:tabs>
        <w:spacing w:line="360" w:lineRule="auto"/>
        <w:ind w:left="1330" w:hanging="1329" w:hangingChars="554"/>
        <w:rPr>
          <w:rFonts w:ascii="宋体" w:hAnsi="宋体" w:cs="Arial"/>
          <w:sz w:val="24"/>
          <w:lang w:eastAsia="zh-CN"/>
        </w:rPr>
      </w:pPr>
      <w:r>
        <w:rPr>
          <w:rFonts w:hint="eastAsia" w:ascii="宋体" w:hAnsi="宋体" w:cs="Arial"/>
          <w:sz w:val="24"/>
          <w:lang w:eastAsia="zh-CN"/>
        </w:rPr>
        <w:t>报告人应至迟于每月的5号向董事会办公室提供本部门上个月的经营情况信息（包括生产经营信息、投资信息、融资信息、合同的签订与履行情况、涉及的诉讼、仲裁情况、人事变动信息及董事会办公室要求的其他信息）和本月的工作安排。</w:t>
      </w:r>
    </w:p>
    <w:p w14:paraId="04A92003">
      <w:pPr>
        <w:spacing w:line="460" w:lineRule="exact"/>
        <w:rPr>
          <w:rFonts w:ascii="宋体" w:hAnsi="宋体"/>
          <w:sz w:val="24"/>
          <w:lang w:eastAsia="zh-CN"/>
        </w:rPr>
      </w:pPr>
      <w:r>
        <w:rPr>
          <w:rFonts w:hint="eastAsia" w:ascii="宋体" w:hAnsi="宋体"/>
          <w:sz w:val="24"/>
          <w:lang w:eastAsia="zh-CN"/>
        </w:rPr>
        <w:t xml:space="preserve">    </w:t>
      </w:r>
    </w:p>
    <w:p w14:paraId="748AE061">
      <w:pPr>
        <w:numPr>
          <w:ilvl w:val="0"/>
          <w:numId w:val="2"/>
        </w:numPr>
        <w:tabs>
          <w:tab w:val="left" w:pos="1260"/>
          <w:tab w:val="clear" w:pos="1440"/>
        </w:tabs>
        <w:spacing w:line="360" w:lineRule="auto"/>
        <w:ind w:left="1330" w:hanging="1329" w:hangingChars="554"/>
        <w:rPr>
          <w:rFonts w:ascii="宋体" w:hAnsi="宋体" w:cs="Arial"/>
          <w:sz w:val="24"/>
          <w:lang w:eastAsia="zh-CN"/>
        </w:rPr>
      </w:pPr>
      <w:r>
        <w:rPr>
          <w:rFonts w:hint="eastAsia" w:ascii="宋体" w:hAnsi="宋体" w:cs="Arial"/>
          <w:sz w:val="24"/>
          <w:lang w:eastAsia="zh-CN"/>
        </w:rPr>
        <w:t xml:space="preserve">公司及相关信息披露义务人筹划重大事项，持续时间较长的，可以按规定分阶段披露进展情况，提示相关风险。已披露的事项发生变化，可能对公司股票及其衍生品种交易价格产生较大影响的，公司及相关信息披露义务人应当及时披露进展公告。 </w:t>
      </w:r>
    </w:p>
    <w:p w14:paraId="38DD8182">
      <w:pPr>
        <w:pStyle w:val="17"/>
        <w:ind w:firstLine="480"/>
        <w:rPr>
          <w:rFonts w:hint="eastAsia" w:ascii="宋体" w:hAnsi="宋体" w:cs="Arial"/>
          <w:sz w:val="24"/>
          <w:lang w:eastAsia="zh-CN"/>
        </w:rPr>
      </w:pPr>
    </w:p>
    <w:p w14:paraId="16A0C357">
      <w:pPr>
        <w:tabs>
          <w:tab w:val="left" w:pos="1260"/>
        </w:tabs>
        <w:spacing w:line="360" w:lineRule="auto"/>
        <w:ind w:left="1274"/>
        <w:rPr>
          <w:rFonts w:hint="eastAsia" w:ascii="宋体" w:hAnsi="宋体" w:cs="Arial"/>
          <w:sz w:val="24"/>
          <w:lang w:eastAsia="zh-CN"/>
        </w:rPr>
      </w:pPr>
    </w:p>
    <w:p w14:paraId="2E68574B">
      <w:pPr>
        <w:numPr>
          <w:ilvl w:val="0"/>
          <w:numId w:val="2"/>
        </w:numPr>
        <w:tabs>
          <w:tab w:val="left" w:pos="1260"/>
          <w:tab w:val="clear" w:pos="1440"/>
        </w:tabs>
        <w:spacing w:line="360" w:lineRule="auto"/>
        <w:ind w:left="1330" w:hanging="1329" w:hangingChars="554"/>
        <w:rPr>
          <w:rFonts w:ascii="宋体" w:hAnsi="宋体" w:cs="Arial"/>
          <w:sz w:val="24"/>
          <w:lang w:eastAsia="zh-CN"/>
        </w:rPr>
      </w:pPr>
      <w:r>
        <w:rPr>
          <w:rFonts w:hint="eastAsia" w:ascii="宋体" w:hAnsi="宋体" w:cs="Arial"/>
          <w:sz w:val="24"/>
          <w:lang w:eastAsia="zh-CN"/>
        </w:rPr>
        <w:t>公司各部门、分公司的联络人负责收集、整理、准备本部门（分公司）与拟报告信息相关的文件、资料，并经第一责任人（即本部门或分公司的负责人）审阅签字后，由联络人将相关信息及文件、资料通知或送达董事会办公室。</w:t>
      </w:r>
    </w:p>
    <w:p w14:paraId="30664D62">
      <w:pPr>
        <w:tabs>
          <w:tab w:val="left" w:pos="1260"/>
        </w:tabs>
        <w:spacing w:line="360" w:lineRule="auto"/>
        <w:ind w:left="1274"/>
        <w:rPr>
          <w:rFonts w:ascii="宋体" w:hAnsi="宋体" w:cs="Arial"/>
          <w:sz w:val="24"/>
          <w:lang w:eastAsia="zh-CN"/>
        </w:rPr>
      </w:pPr>
      <w:r>
        <w:rPr>
          <w:rFonts w:hint="eastAsia" w:ascii="宋体" w:hAnsi="宋体" w:cs="Arial"/>
          <w:sz w:val="24"/>
          <w:lang w:eastAsia="zh-CN"/>
        </w:rPr>
        <w:t>各部门、分公司的第一责任人应在接到有关文件、资料的当天完成审阅工作并签字，如第一责任人不履行或不能履行该项职责，则联络人可直接将有关情况向董事会办公室报告。</w:t>
      </w:r>
    </w:p>
    <w:p w14:paraId="68C90CC7">
      <w:pPr>
        <w:tabs>
          <w:tab w:val="left" w:pos="1260"/>
        </w:tabs>
        <w:spacing w:line="360" w:lineRule="auto"/>
        <w:ind w:left="1274"/>
        <w:rPr>
          <w:rFonts w:ascii="宋体" w:hAnsi="宋体" w:cs="Arial"/>
          <w:sz w:val="24"/>
          <w:lang w:eastAsia="zh-CN"/>
        </w:rPr>
      </w:pPr>
      <w:r>
        <w:rPr>
          <w:rFonts w:hint="eastAsia" w:ascii="宋体" w:hAnsi="宋体" w:cs="Arial"/>
          <w:sz w:val="24"/>
          <w:lang w:eastAsia="zh-CN"/>
        </w:rPr>
        <w:t>如各部门、分公司的联络人不履行或不能履行本条第一款规定的职责，则第一责任人应亲自履行或指定其他人履行该项职责。</w:t>
      </w:r>
    </w:p>
    <w:p w14:paraId="72B1975D">
      <w:pPr>
        <w:tabs>
          <w:tab w:val="left" w:pos="1260"/>
        </w:tabs>
        <w:spacing w:line="360" w:lineRule="auto"/>
        <w:ind w:left="1274"/>
        <w:rPr>
          <w:rFonts w:ascii="宋体" w:hAnsi="宋体" w:cs="Arial"/>
          <w:sz w:val="24"/>
          <w:lang w:eastAsia="zh-CN"/>
        </w:rPr>
      </w:pPr>
      <w:r>
        <w:rPr>
          <w:rFonts w:hint="eastAsia" w:ascii="宋体" w:hAnsi="宋体" w:cs="Arial"/>
          <w:sz w:val="24"/>
          <w:lang w:eastAsia="zh-CN"/>
        </w:rPr>
        <w:t>公司下属子公司的总经理或经公司指定的报告人负责收集、整理、准备本公司与拟报告信息相关的文件、资料，并将相关信息及文件、资料通知或送达董事会办公室。</w:t>
      </w:r>
    </w:p>
    <w:p w14:paraId="64479BBE">
      <w:pPr>
        <w:spacing w:line="460" w:lineRule="exact"/>
        <w:rPr>
          <w:rFonts w:ascii="宋体" w:hAnsi="宋体"/>
          <w:sz w:val="24"/>
          <w:lang w:eastAsia="zh-CN"/>
        </w:rPr>
      </w:pPr>
      <w:r>
        <w:rPr>
          <w:rFonts w:hint="eastAsia" w:ascii="宋体" w:hAnsi="宋体"/>
          <w:sz w:val="24"/>
          <w:lang w:eastAsia="zh-CN"/>
        </w:rPr>
        <w:t xml:space="preserve">    </w:t>
      </w:r>
    </w:p>
    <w:p w14:paraId="23EDE497">
      <w:pPr>
        <w:numPr>
          <w:ilvl w:val="0"/>
          <w:numId w:val="2"/>
        </w:numPr>
        <w:tabs>
          <w:tab w:val="left" w:pos="1260"/>
          <w:tab w:val="clear" w:pos="1440"/>
        </w:tabs>
        <w:spacing w:line="360" w:lineRule="auto"/>
        <w:ind w:left="1330" w:hanging="1329" w:hangingChars="554"/>
        <w:rPr>
          <w:rFonts w:ascii="宋体" w:hAnsi="宋体" w:cs="Arial"/>
          <w:sz w:val="24"/>
          <w:lang w:eastAsia="zh-CN"/>
        </w:rPr>
      </w:pPr>
      <w:r>
        <w:rPr>
          <w:rFonts w:hint="eastAsia" w:ascii="宋体" w:hAnsi="宋体" w:cs="Arial"/>
          <w:sz w:val="24"/>
          <w:lang w:eastAsia="zh-CN"/>
        </w:rPr>
        <w:t>报告人向董事会办公室履行信息报告的通知义务是指将拟报告的信息在第一时间以电话、传真或邮件等方式通知董事会秘书，并同时通知证券事务代表。</w:t>
      </w:r>
    </w:p>
    <w:p w14:paraId="0F83EED0">
      <w:pPr>
        <w:tabs>
          <w:tab w:val="left" w:pos="1260"/>
        </w:tabs>
        <w:spacing w:line="360" w:lineRule="auto"/>
        <w:ind w:left="1274"/>
        <w:rPr>
          <w:rFonts w:ascii="宋体" w:hAnsi="宋体" w:cs="Arial"/>
          <w:sz w:val="24"/>
          <w:lang w:eastAsia="zh-CN"/>
        </w:rPr>
      </w:pPr>
      <w:r>
        <w:rPr>
          <w:rFonts w:hint="eastAsia" w:ascii="宋体" w:hAnsi="宋体" w:cs="Arial"/>
          <w:sz w:val="24"/>
          <w:lang w:eastAsia="zh-CN"/>
        </w:rPr>
        <w:t>报告人向董事会办公室提供文件资料是指将与所报告信息有关的文件资料送交董事会办公室的工作人员，并由该工作人员签收。</w:t>
      </w:r>
    </w:p>
    <w:p w14:paraId="10DFA753">
      <w:pPr>
        <w:spacing w:line="460" w:lineRule="exact"/>
        <w:rPr>
          <w:rFonts w:ascii="宋体" w:hAnsi="宋体"/>
          <w:sz w:val="24"/>
          <w:lang w:eastAsia="zh-CN"/>
        </w:rPr>
      </w:pPr>
      <w:r>
        <w:rPr>
          <w:rFonts w:hint="eastAsia" w:ascii="宋体" w:hAnsi="宋体"/>
          <w:sz w:val="24"/>
          <w:lang w:eastAsia="zh-CN"/>
        </w:rPr>
        <w:t xml:space="preserve">    </w:t>
      </w:r>
    </w:p>
    <w:p w14:paraId="61FA0957">
      <w:pPr>
        <w:numPr>
          <w:ilvl w:val="0"/>
          <w:numId w:val="2"/>
        </w:numPr>
        <w:tabs>
          <w:tab w:val="left" w:pos="1260"/>
          <w:tab w:val="clear" w:pos="1440"/>
        </w:tabs>
        <w:spacing w:line="360" w:lineRule="auto"/>
        <w:ind w:left="1330" w:hanging="1329" w:hangingChars="554"/>
        <w:rPr>
          <w:rFonts w:ascii="宋体" w:hAnsi="宋体" w:cs="Arial"/>
          <w:sz w:val="24"/>
          <w:lang w:eastAsia="zh-CN"/>
        </w:rPr>
      </w:pPr>
      <w:r>
        <w:rPr>
          <w:rFonts w:hint="eastAsia" w:ascii="宋体" w:hAnsi="宋体" w:cs="Arial"/>
          <w:sz w:val="24"/>
          <w:lang w:eastAsia="zh-CN"/>
        </w:rPr>
        <w:t>董事会秘书或证券事务代表有权随时向报告人了解应报告信息的详细情况，报告人应及时、如实地向董事会秘书或证券事务代表说明情况，回答有关问题。</w:t>
      </w:r>
    </w:p>
    <w:p w14:paraId="3B365AF0">
      <w:pPr>
        <w:spacing w:line="460" w:lineRule="exact"/>
        <w:rPr>
          <w:rFonts w:ascii="宋体" w:hAnsi="宋体"/>
          <w:sz w:val="24"/>
          <w:lang w:eastAsia="zh-CN"/>
        </w:rPr>
      </w:pPr>
      <w:r>
        <w:rPr>
          <w:rFonts w:hint="eastAsia" w:ascii="宋体" w:hAnsi="宋体"/>
          <w:sz w:val="24"/>
          <w:lang w:eastAsia="zh-CN"/>
        </w:rPr>
        <w:t xml:space="preserve">    </w:t>
      </w:r>
    </w:p>
    <w:p w14:paraId="71B6046C">
      <w:pPr>
        <w:numPr>
          <w:ilvl w:val="0"/>
          <w:numId w:val="2"/>
        </w:numPr>
        <w:tabs>
          <w:tab w:val="left" w:pos="1260"/>
          <w:tab w:val="clear" w:pos="1440"/>
        </w:tabs>
        <w:spacing w:line="360" w:lineRule="auto"/>
        <w:ind w:left="1330" w:hanging="1329" w:hangingChars="554"/>
        <w:rPr>
          <w:rFonts w:ascii="宋体" w:hAnsi="宋体" w:cs="Arial"/>
          <w:sz w:val="24"/>
          <w:lang w:eastAsia="zh-CN"/>
        </w:rPr>
      </w:pPr>
      <w:r>
        <w:rPr>
          <w:rFonts w:hint="eastAsia" w:ascii="宋体" w:hAnsi="宋体" w:cs="Arial"/>
          <w:sz w:val="24"/>
          <w:lang w:eastAsia="zh-CN"/>
        </w:rPr>
        <w:t>公司各部门、分公司、子公司的联络人和第一责任人对履行报告信息义务承担连带责任，不得互相</w:t>
      </w:r>
      <w:r>
        <w:rPr>
          <w:rFonts w:hint="eastAsia" w:ascii="宋体" w:hAnsi="宋体" w:cs="Arial"/>
          <w:sz w:val="24"/>
          <w:lang w:val="en-US" w:eastAsia="zh-CN"/>
        </w:rPr>
        <w:t>推诿</w:t>
      </w:r>
      <w:r>
        <w:rPr>
          <w:rFonts w:hint="eastAsia" w:ascii="宋体" w:hAnsi="宋体" w:cs="Arial"/>
          <w:sz w:val="24"/>
          <w:lang w:eastAsia="zh-CN"/>
        </w:rPr>
        <w:t>。</w:t>
      </w:r>
    </w:p>
    <w:p w14:paraId="071A1518">
      <w:pPr>
        <w:spacing w:line="460" w:lineRule="exact"/>
        <w:rPr>
          <w:rFonts w:ascii="宋体" w:hAnsi="宋体"/>
          <w:sz w:val="24"/>
          <w:lang w:eastAsia="zh-CN"/>
        </w:rPr>
      </w:pPr>
      <w:bookmarkStart w:id="0" w:name="_GoBack"/>
      <w:bookmarkEnd w:id="0"/>
    </w:p>
    <w:p w14:paraId="7D78D96C">
      <w:pPr>
        <w:numPr>
          <w:ilvl w:val="0"/>
          <w:numId w:val="3"/>
        </w:numPr>
        <w:spacing w:line="460" w:lineRule="exact"/>
        <w:jc w:val="center"/>
        <w:rPr>
          <w:rFonts w:ascii="宋体" w:hAnsi="宋体"/>
          <w:b/>
          <w:sz w:val="24"/>
        </w:rPr>
      </w:pPr>
      <w:r>
        <w:rPr>
          <w:rFonts w:hint="eastAsia" w:ascii="宋体" w:hAnsi="宋体"/>
          <w:b/>
          <w:sz w:val="24"/>
        </w:rPr>
        <w:t>保密义务及法律责任</w:t>
      </w:r>
    </w:p>
    <w:p w14:paraId="16BE1BC4">
      <w:pPr>
        <w:spacing w:line="460" w:lineRule="exact"/>
        <w:jc w:val="center"/>
        <w:rPr>
          <w:rFonts w:ascii="宋体" w:hAnsi="宋体"/>
          <w:b/>
          <w:sz w:val="24"/>
        </w:rPr>
      </w:pPr>
    </w:p>
    <w:p w14:paraId="03316FC3">
      <w:pPr>
        <w:numPr>
          <w:ilvl w:val="0"/>
          <w:numId w:val="2"/>
        </w:numPr>
        <w:tabs>
          <w:tab w:val="left" w:pos="1260"/>
          <w:tab w:val="clear" w:pos="1440"/>
        </w:tabs>
        <w:spacing w:line="360" w:lineRule="auto"/>
        <w:ind w:left="1330" w:hanging="1329" w:hangingChars="554"/>
        <w:rPr>
          <w:rFonts w:ascii="宋体" w:hAnsi="宋体" w:cs="Arial"/>
          <w:sz w:val="24"/>
          <w:lang w:eastAsia="zh-CN"/>
        </w:rPr>
      </w:pPr>
      <w:r>
        <w:rPr>
          <w:rFonts w:hint="eastAsia" w:ascii="宋体" w:hAnsi="宋体" w:cs="Arial"/>
          <w:sz w:val="24"/>
          <w:lang w:eastAsia="zh-CN"/>
        </w:rPr>
        <w:t>董事会秘书、证券事务代表、报告人及其他因工作关系接触到应报告信息的工作人员在相关信息未公开披露前，负有保密义务。</w:t>
      </w:r>
    </w:p>
    <w:p w14:paraId="5ABB007B">
      <w:pPr>
        <w:spacing w:line="460" w:lineRule="exact"/>
        <w:ind w:firstLine="480" w:firstLineChars="200"/>
        <w:rPr>
          <w:rFonts w:ascii="宋体" w:hAnsi="宋体"/>
          <w:sz w:val="24"/>
          <w:lang w:eastAsia="zh-CN"/>
        </w:rPr>
      </w:pPr>
    </w:p>
    <w:p w14:paraId="5F559BF1">
      <w:pPr>
        <w:numPr>
          <w:ilvl w:val="0"/>
          <w:numId w:val="2"/>
        </w:numPr>
        <w:tabs>
          <w:tab w:val="left" w:pos="1260"/>
          <w:tab w:val="clear" w:pos="1440"/>
        </w:tabs>
        <w:spacing w:line="360" w:lineRule="auto"/>
        <w:ind w:left="1330" w:hanging="1329" w:hangingChars="554"/>
        <w:rPr>
          <w:rFonts w:ascii="宋体" w:hAnsi="宋体" w:cs="Arial"/>
          <w:sz w:val="24"/>
          <w:lang w:eastAsia="zh-CN"/>
        </w:rPr>
      </w:pPr>
      <w:r>
        <w:rPr>
          <w:rFonts w:hint="eastAsia" w:ascii="宋体" w:hAnsi="宋体" w:cs="Arial"/>
          <w:sz w:val="24"/>
          <w:lang w:eastAsia="zh-CN"/>
        </w:rPr>
        <w:t>报告人未按本制度的规定履行信息报告义务导致公司信息披露违规，给公司造成严重影响或损失时，公司应对报告人给予批评、警告、罚款直至解除其职务的处分，并且可以要求其承担损害赔偿责任。</w:t>
      </w:r>
    </w:p>
    <w:p w14:paraId="3C09D304">
      <w:pPr>
        <w:tabs>
          <w:tab w:val="left" w:pos="1260"/>
        </w:tabs>
        <w:spacing w:line="360" w:lineRule="auto"/>
        <w:ind w:left="1274"/>
        <w:rPr>
          <w:rFonts w:ascii="宋体" w:hAnsi="宋体" w:cs="Arial"/>
          <w:sz w:val="24"/>
          <w:lang w:eastAsia="zh-CN"/>
        </w:rPr>
      </w:pPr>
      <w:r>
        <w:rPr>
          <w:rFonts w:hint="eastAsia" w:ascii="宋体" w:hAnsi="宋体" w:cs="Arial"/>
          <w:sz w:val="24"/>
          <w:lang w:eastAsia="zh-CN"/>
        </w:rPr>
        <w:t>前款规定的不履行信息报告义务是指包括但不限于下列情形：</w:t>
      </w:r>
    </w:p>
    <w:p w14:paraId="5BE76E0D">
      <w:pPr>
        <w:tabs>
          <w:tab w:val="left" w:pos="1260"/>
        </w:tabs>
        <w:spacing w:line="360" w:lineRule="auto"/>
        <w:ind w:left="1274"/>
        <w:rPr>
          <w:rFonts w:ascii="宋体" w:hAnsi="宋体" w:cs="Arial"/>
          <w:sz w:val="24"/>
          <w:lang w:eastAsia="zh-CN"/>
        </w:rPr>
      </w:pPr>
      <w:r>
        <w:rPr>
          <w:rFonts w:hint="eastAsia" w:ascii="宋体" w:hAnsi="宋体" w:cs="Arial"/>
          <w:sz w:val="24"/>
          <w:lang w:eastAsia="zh-CN"/>
        </w:rPr>
        <w:t>（一）不向董事会办公室报告信息和/或提供相关文件资料；</w:t>
      </w:r>
    </w:p>
    <w:p w14:paraId="0DC8A928">
      <w:pPr>
        <w:tabs>
          <w:tab w:val="left" w:pos="1260"/>
        </w:tabs>
        <w:spacing w:line="360" w:lineRule="auto"/>
        <w:ind w:left="1274"/>
        <w:rPr>
          <w:rFonts w:ascii="宋体" w:hAnsi="宋体" w:cs="Arial"/>
          <w:sz w:val="24"/>
          <w:lang w:eastAsia="zh-CN"/>
        </w:rPr>
      </w:pPr>
      <w:r>
        <w:rPr>
          <w:rFonts w:hint="eastAsia" w:ascii="宋体" w:hAnsi="宋体" w:cs="Arial"/>
          <w:sz w:val="24"/>
          <w:lang w:eastAsia="zh-CN"/>
        </w:rPr>
        <w:t>（二）未及时向董事会办公室报告信息和/或提供相关文件资料；</w:t>
      </w:r>
    </w:p>
    <w:p w14:paraId="7E63E127">
      <w:pPr>
        <w:tabs>
          <w:tab w:val="left" w:pos="1260"/>
        </w:tabs>
        <w:spacing w:line="360" w:lineRule="auto"/>
        <w:ind w:left="1274"/>
        <w:rPr>
          <w:rFonts w:ascii="宋体" w:hAnsi="宋体" w:cs="Arial"/>
          <w:sz w:val="24"/>
          <w:lang w:eastAsia="zh-CN"/>
        </w:rPr>
      </w:pPr>
      <w:r>
        <w:rPr>
          <w:rFonts w:hint="eastAsia" w:ascii="宋体" w:hAnsi="宋体" w:cs="Arial"/>
          <w:sz w:val="24"/>
          <w:lang w:eastAsia="zh-CN"/>
        </w:rPr>
        <w:t>（三）因故意或过失致使报告的信息或提供的文件资料存在重大隐瞒、虚假陈述或引人重大误解之处；</w:t>
      </w:r>
    </w:p>
    <w:p w14:paraId="5781B1D4">
      <w:pPr>
        <w:tabs>
          <w:tab w:val="left" w:pos="1260"/>
        </w:tabs>
        <w:spacing w:line="360" w:lineRule="auto"/>
        <w:ind w:left="1274"/>
        <w:rPr>
          <w:rFonts w:ascii="宋体" w:hAnsi="宋体" w:cs="Arial"/>
          <w:sz w:val="24"/>
          <w:lang w:eastAsia="zh-CN"/>
        </w:rPr>
      </w:pPr>
      <w:r>
        <w:rPr>
          <w:rFonts w:hint="eastAsia" w:ascii="宋体" w:hAnsi="宋体" w:cs="Arial"/>
          <w:sz w:val="24"/>
          <w:lang w:eastAsia="zh-CN"/>
        </w:rPr>
        <w:t>（四）拒绝答复董事会秘书或证券事务代表对相关问题的问询；</w:t>
      </w:r>
    </w:p>
    <w:p w14:paraId="6CACF627">
      <w:pPr>
        <w:tabs>
          <w:tab w:val="left" w:pos="1260"/>
        </w:tabs>
        <w:spacing w:line="360" w:lineRule="auto"/>
        <w:ind w:left="1274"/>
        <w:rPr>
          <w:rFonts w:ascii="宋体" w:hAnsi="宋体" w:cs="Arial"/>
          <w:sz w:val="24"/>
          <w:lang w:eastAsia="zh-CN"/>
        </w:rPr>
      </w:pPr>
      <w:r>
        <w:rPr>
          <w:rFonts w:hint="eastAsia" w:ascii="宋体" w:hAnsi="宋体" w:cs="Arial"/>
          <w:sz w:val="24"/>
          <w:lang w:eastAsia="zh-CN"/>
        </w:rPr>
        <w:t>（五）其他不适当履行信息报告义务的情形。</w:t>
      </w:r>
    </w:p>
    <w:p w14:paraId="3D333CB9">
      <w:pPr>
        <w:spacing w:line="460" w:lineRule="exact"/>
        <w:rPr>
          <w:rFonts w:ascii="宋体" w:hAnsi="宋体"/>
          <w:sz w:val="24"/>
          <w:lang w:eastAsia="zh-CN"/>
        </w:rPr>
      </w:pPr>
    </w:p>
    <w:p w14:paraId="3475038D">
      <w:pPr>
        <w:numPr>
          <w:ilvl w:val="0"/>
          <w:numId w:val="3"/>
        </w:numPr>
        <w:spacing w:line="460" w:lineRule="exact"/>
        <w:jc w:val="center"/>
        <w:rPr>
          <w:rFonts w:ascii="宋体" w:hAnsi="宋体"/>
          <w:b/>
          <w:sz w:val="24"/>
        </w:rPr>
      </w:pPr>
      <w:r>
        <w:rPr>
          <w:rFonts w:hint="eastAsia" w:ascii="宋体" w:hAnsi="宋体"/>
          <w:b/>
          <w:sz w:val="24"/>
        </w:rPr>
        <w:t>附则</w:t>
      </w:r>
    </w:p>
    <w:p w14:paraId="1B877D2B">
      <w:pPr>
        <w:spacing w:line="460" w:lineRule="exact"/>
        <w:jc w:val="center"/>
        <w:rPr>
          <w:rFonts w:ascii="宋体" w:hAnsi="宋体"/>
          <w:b/>
          <w:sz w:val="24"/>
        </w:rPr>
      </w:pPr>
    </w:p>
    <w:p w14:paraId="2D095E0B">
      <w:pPr>
        <w:numPr>
          <w:ilvl w:val="0"/>
          <w:numId w:val="2"/>
        </w:numPr>
        <w:tabs>
          <w:tab w:val="left" w:pos="1260"/>
          <w:tab w:val="clear" w:pos="1440"/>
        </w:tabs>
        <w:spacing w:line="360" w:lineRule="auto"/>
        <w:ind w:left="1330" w:hanging="1329" w:hangingChars="554"/>
        <w:rPr>
          <w:rFonts w:ascii="宋体" w:hAnsi="宋体" w:cs="Arial"/>
          <w:sz w:val="24"/>
          <w:lang w:eastAsia="zh-CN"/>
        </w:rPr>
      </w:pPr>
      <w:r>
        <w:rPr>
          <w:rFonts w:hint="eastAsia" w:ascii="宋体" w:hAnsi="宋体" w:cs="Arial"/>
          <w:sz w:val="24"/>
          <w:lang w:eastAsia="zh-CN"/>
        </w:rPr>
        <w:t>本制度所称“第一时间”是指报告人获知拟报告信息的当天（不超过当日的24时）。</w:t>
      </w:r>
    </w:p>
    <w:p w14:paraId="1BAED5E8">
      <w:pPr>
        <w:spacing w:line="460" w:lineRule="exact"/>
        <w:rPr>
          <w:rFonts w:ascii="宋体" w:hAnsi="宋体"/>
          <w:sz w:val="24"/>
          <w:lang w:eastAsia="zh-CN"/>
        </w:rPr>
      </w:pPr>
      <w:r>
        <w:rPr>
          <w:rFonts w:hint="eastAsia" w:ascii="宋体" w:hAnsi="宋体"/>
          <w:sz w:val="24"/>
          <w:lang w:eastAsia="zh-CN"/>
        </w:rPr>
        <w:t xml:space="preserve">   </w:t>
      </w:r>
    </w:p>
    <w:p w14:paraId="7ADB549E">
      <w:pPr>
        <w:numPr>
          <w:ilvl w:val="0"/>
          <w:numId w:val="2"/>
        </w:numPr>
        <w:tabs>
          <w:tab w:val="left" w:pos="1260"/>
          <w:tab w:val="clear" w:pos="1440"/>
        </w:tabs>
        <w:spacing w:line="360" w:lineRule="auto"/>
        <w:ind w:left="1330" w:hanging="1329" w:hangingChars="554"/>
        <w:rPr>
          <w:rFonts w:ascii="宋体" w:hAnsi="宋体" w:cs="Arial"/>
          <w:sz w:val="24"/>
          <w:lang w:eastAsia="zh-CN"/>
        </w:rPr>
      </w:pPr>
      <w:r>
        <w:rPr>
          <w:rFonts w:hint="eastAsia" w:ascii="宋体" w:hAnsi="宋体" w:cs="Arial"/>
          <w:sz w:val="24"/>
          <w:lang w:eastAsia="zh-CN"/>
        </w:rPr>
        <w:t>本制度规定的报告人的通知方式包括电话通知、电子邮件通知、传真通知及书面通知。</w:t>
      </w:r>
    </w:p>
    <w:p w14:paraId="0F9BE19A">
      <w:pPr>
        <w:spacing w:line="460" w:lineRule="exact"/>
        <w:rPr>
          <w:rFonts w:ascii="宋体" w:hAnsi="宋体"/>
          <w:sz w:val="24"/>
          <w:lang w:eastAsia="zh-CN"/>
        </w:rPr>
      </w:pPr>
      <w:r>
        <w:rPr>
          <w:rFonts w:hint="eastAsia" w:ascii="宋体" w:hAnsi="宋体"/>
          <w:sz w:val="24"/>
          <w:lang w:eastAsia="zh-CN"/>
        </w:rPr>
        <w:t xml:space="preserve">  </w:t>
      </w:r>
    </w:p>
    <w:p w14:paraId="13C92B3D">
      <w:pPr>
        <w:numPr>
          <w:ilvl w:val="0"/>
          <w:numId w:val="2"/>
        </w:numPr>
        <w:tabs>
          <w:tab w:val="left" w:pos="1260"/>
          <w:tab w:val="clear" w:pos="1440"/>
        </w:tabs>
        <w:spacing w:line="360" w:lineRule="auto"/>
        <w:ind w:left="1330" w:hanging="1329" w:hangingChars="554"/>
        <w:rPr>
          <w:rFonts w:ascii="宋体" w:hAnsi="宋体" w:cs="Arial"/>
          <w:sz w:val="24"/>
          <w:lang w:eastAsia="zh-CN"/>
        </w:rPr>
      </w:pPr>
      <w:r>
        <w:rPr>
          <w:rFonts w:hint="eastAsia" w:ascii="宋体" w:hAnsi="宋体" w:cs="Arial"/>
          <w:sz w:val="24"/>
          <w:lang w:eastAsia="zh-CN"/>
        </w:rPr>
        <w:t>本制度如与《上市规则》、《公司章程》等有关法律、法规、规范性文件的规定有冲突的，则以《上市规则》、《公司章程》等有关法律、法规和/或规范性文件的相关规定为准。</w:t>
      </w:r>
    </w:p>
    <w:p w14:paraId="7718B680">
      <w:pPr>
        <w:spacing w:line="460" w:lineRule="exact"/>
        <w:rPr>
          <w:rFonts w:ascii="宋体" w:hAnsi="宋体"/>
          <w:sz w:val="24"/>
          <w:lang w:eastAsia="zh-CN"/>
        </w:rPr>
      </w:pPr>
      <w:r>
        <w:rPr>
          <w:rFonts w:hint="eastAsia" w:ascii="宋体" w:hAnsi="宋体"/>
          <w:sz w:val="24"/>
          <w:lang w:eastAsia="zh-CN"/>
        </w:rPr>
        <w:t xml:space="preserve">  </w:t>
      </w:r>
    </w:p>
    <w:p w14:paraId="371D3DC7">
      <w:pPr>
        <w:numPr>
          <w:ilvl w:val="0"/>
          <w:numId w:val="2"/>
        </w:numPr>
        <w:tabs>
          <w:tab w:val="left" w:pos="1260"/>
          <w:tab w:val="clear" w:pos="1440"/>
        </w:tabs>
        <w:spacing w:line="360" w:lineRule="auto"/>
        <w:ind w:left="1330" w:hanging="1329" w:hangingChars="554"/>
        <w:rPr>
          <w:rFonts w:ascii="宋体" w:hAnsi="宋体" w:cs="Arial"/>
          <w:sz w:val="24"/>
          <w:lang w:eastAsia="zh-CN"/>
        </w:rPr>
      </w:pPr>
      <w:r>
        <w:rPr>
          <w:rFonts w:hint="eastAsia" w:ascii="宋体" w:hAnsi="宋体" w:cs="Arial"/>
          <w:sz w:val="24"/>
          <w:lang w:eastAsia="zh-CN"/>
        </w:rPr>
        <w:t>本制度由公司董事会负责解释和修订。</w:t>
      </w:r>
    </w:p>
    <w:p w14:paraId="1E22E5E5">
      <w:pPr>
        <w:spacing w:line="460" w:lineRule="exact"/>
        <w:rPr>
          <w:rFonts w:ascii="宋体" w:hAnsi="宋体"/>
          <w:sz w:val="24"/>
          <w:lang w:eastAsia="zh-CN"/>
        </w:rPr>
      </w:pPr>
    </w:p>
    <w:p w14:paraId="52B00801">
      <w:pPr>
        <w:numPr>
          <w:ilvl w:val="0"/>
          <w:numId w:val="2"/>
        </w:numPr>
        <w:tabs>
          <w:tab w:val="left" w:pos="1260"/>
          <w:tab w:val="clear" w:pos="1440"/>
        </w:tabs>
        <w:spacing w:line="360" w:lineRule="auto"/>
        <w:ind w:left="1330" w:hanging="1329" w:hangingChars="554"/>
        <w:rPr>
          <w:rFonts w:ascii="宋体" w:hAnsi="宋体" w:cs="Arial"/>
          <w:sz w:val="24"/>
          <w:lang w:eastAsia="zh-CN"/>
        </w:rPr>
      </w:pPr>
      <w:r>
        <w:rPr>
          <w:rFonts w:hint="eastAsia" w:ascii="宋体" w:hAnsi="宋体" w:cs="Arial"/>
          <w:sz w:val="24"/>
          <w:lang w:eastAsia="zh-CN"/>
        </w:rPr>
        <w:t>本制度经公司董事会审议通过之日起生效执行。</w:t>
      </w:r>
    </w:p>
    <w:sectPr>
      <w:headerReference r:id="rId3" w:type="default"/>
      <w:footerReference r:id="rId4" w:type="default"/>
      <w:pgSz w:w="11906" w:h="16838"/>
      <w:pgMar w:top="1440" w:right="1644" w:bottom="1440"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Grande">
    <w:altName w:val="Arial"/>
    <w:panose1 w:val="00000000000000000000"/>
    <w:charset w:val="00"/>
    <w:family w:val="auto"/>
    <w:pitch w:val="default"/>
    <w:sig w:usb0="00000000" w:usb1="00000000" w:usb2="00000000" w:usb3="00000000" w:csb0="000001B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32CC4">
    <w:pPr>
      <w:pStyle w:val="4"/>
      <w:jc w:val="center"/>
      <w:rPr>
        <w:sz w:val="21"/>
      </w:rPr>
    </w:pPr>
    <w:r>
      <w:rPr>
        <w:sz w:val="21"/>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7B599D">
                          <w:pPr>
                            <w:pStyle w:val="4"/>
                          </w:pPr>
                          <w:r>
                            <w:t xml:space="preserve">第 </w:t>
                          </w:r>
                          <w:r>
                            <w:fldChar w:fldCharType="begin"/>
                          </w:r>
                          <w:r>
                            <w:instrText xml:space="preserve"> PAGE  \* MERGEFORMAT </w:instrText>
                          </w:r>
                          <w:r>
                            <w:fldChar w:fldCharType="separate"/>
                          </w:r>
                          <w:r>
                            <w:t>8</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97B599D">
                    <w:pPr>
                      <w:pStyle w:val="4"/>
                    </w:pPr>
                    <w:r>
                      <w:t xml:space="preserve">第 </w:t>
                    </w:r>
                    <w:r>
                      <w:fldChar w:fldCharType="begin"/>
                    </w:r>
                    <w:r>
                      <w:instrText xml:space="preserve"> PAGE  \* MERGEFORMAT </w:instrText>
                    </w:r>
                    <w:r>
                      <w:fldChar w:fldCharType="separate"/>
                    </w:r>
                    <w:r>
                      <w:t>8</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8F49F">
    <w:pPr>
      <w:pStyle w:val="5"/>
      <w:rPr>
        <w:rFonts w:ascii="黑体" w:hAnsi="黑体" w:eastAsia="黑体" w:cs="Arial"/>
        <w:b/>
        <w:sz w:val="30"/>
        <w:szCs w:val="30"/>
      </w:rPr>
    </w:pPr>
    <w:r>
      <w:rPr>
        <w:lang w:eastAsia="zh-CN"/>
      </w:rPr>
      <w:drawing>
        <wp:anchor distT="0" distB="0" distL="114300" distR="114300" simplePos="0" relativeHeight="251659264" behindDoc="0" locked="0" layoutInCell="1" allowOverlap="1">
          <wp:simplePos x="0" y="0"/>
          <wp:positionH relativeFrom="column">
            <wp:posOffset>73025</wp:posOffset>
          </wp:positionH>
          <wp:positionV relativeFrom="paragraph">
            <wp:posOffset>-6985</wp:posOffset>
          </wp:positionV>
          <wp:extent cx="381000" cy="403860"/>
          <wp:effectExtent l="0" t="0" r="0" b="254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tretch>
                    <a:fillRect/>
                  </a:stretch>
                </pic:blipFill>
                <pic:spPr>
                  <a:xfrm>
                    <a:off x="0" y="0"/>
                    <a:ext cx="381000" cy="403860"/>
                  </a:xfrm>
                  <a:prstGeom prst="rect">
                    <a:avLst/>
                  </a:prstGeom>
                  <a:noFill/>
                  <a:ln>
                    <a:noFill/>
                  </a:ln>
                </pic:spPr>
              </pic:pic>
            </a:graphicData>
          </a:graphic>
        </wp:anchor>
      </w:drawing>
    </w:r>
  </w:p>
  <w:p w14:paraId="21350A0A">
    <w:pPr>
      <w:pStyle w:val="5"/>
      <w:rPr>
        <w:lang w:eastAsia="zh-CN"/>
      </w:rPr>
    </w:pPr>
    <w:r>
      <w:rPr>
        <w:rFonts w:hint="eastAsia"/>
        <w:lang w:eastAsia="zh-CN"/>
      </w:rPr>
      <w:t>永兴特种材料科技股份有限公司重大信息内部报告制度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6B1F50"/>
    <w:multiLevelType w:val="multilevel"/>
    <w:tmpl w:val="346B1F50"/>
    <w:lvl w:ilvl="0" w:tentative="0">
      <w:start w:val="3"/>
      <w:numFmt w:val="japaneseCounting"/>
      <w:lvlText w:val="第%1章"/>
      <w:lvlJc w:val="left"/>
      <w:pPr>
        <w:tabs>
          <w:tab w:val="left" w:pos="960"/>
        </w:tabs>
        <w:ind w:left="960" w:hanging="9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9BC3056"/>
    <w:multiLevelType w:val="multilevel"/>
    <w:tmpl w:val="39BC3056"/>
    <w:lvl w:ilvl="0" w:tentative="0">
      <w:start w:val="1"/>
      <w:numFmt w:val="japaneseCounting"/>
      <w:lvlText w:val="第%1章"/>
      <w:lvlJc w:val="left"/>
      <w:pPr>
        <w:tabs>
          <w:tab w:val="left" w:pos="960"/>
        </w:tabs>
        <w:ind w:left="960" w:hanging="9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A67287B"/>
    <w:multiLevelType w:val="multilevel"/>
    <w:tmpl w:val="4A67287B"/>
    <w:lvl w:ilvl="0" w:tentative="0">
      <w:start w:val="1"/>
      <w:numFmt w:val="japaneseCounting"/>
      <w:lvlText w:val="第%1条"/>
      <w:lvlJc w:val="left"/>
      <w:pPr>
        <w:tabs>
          <w:tab w:val="left" w:pos="1440"/>
        </w:tabs>
        <w:ind w:left="1440" w:hanging="960"/>
      </w:pPr>
      <w:rPr>
        <w:rFonts w:hint="eastAsia"/>
      </w:rPr>
    </w:lvl>
    <w:lvl w:ilvl="1" w:tentative="0">
      <w:start w:val="1"/>
      <w:numFmt w:val="decimal"/>
      <w:lvlText w:val="%2、"/>
      <w:lvlJc w:val="left"/>
      <w:pPr>
        <w:tabs>
          <w:tab w:val="left" w:pos="1260"/>
        </w:tabs>
        <w:ind w:left="1260" w:hanging="360"/>
      </w:pPr>
      <w:rPr>
        <w:rFonts w:hint="eastAsia"/>
      </w:rPr>
    </w:lvl>
    <w:lvl w:ilvl="2" w:tentative="0">
      <w:start w:val="1"/>
      <w:numFmt w:val="decimal"/>
      <w:lvlText w:val="（%3）"/>
      <w:lvlJc w:val="left"/>
      <w:pPr>
        <w:tabs>
          <w:tab w:val="left" w:pos="2040"/>
        </w:tabs>
        <w:ind w:left="2040" w:hanging="720"/>
      </w:pPr>
      <w:rPr>
        <w:rFonts w:hint="eastAsia"/>
      </w:r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FAE"/>
    <w:rsid w:val="00031C9F"/>
    <w:rsid w:val="00274677"/>
    <w:rsid w:val="00280DE6"/>
    <w:rsid w:val="002C46CF"/>
    <w:rsid w:val="003854BD"/>
    <w:rsid w:val="00385EC5"/>
    <w:rsid w:val="003F2638"/>
    <w:rsid w:val="004A17D7"/>
    <w:rsid w:val="004A73F3"/>
    <w:rsid w:val="004C697B"/>
    <w:rsid w:val="004F6897"/>
    <w:rsid w:val="00525758"/>
    <w:rsid w:val="00613E14"/>
    <w:rsid w:val="00622009"/>
    <w:rsid w:val="00677A68"/>
    <w:rsid w:val="006845CD"/>
    <w:rsid w:val="00690718"/>
    <w:rsid w:val="006A1B7E"/>
    <w:rsid w:val="006A7543"/>
    <w:rsid w:val="007272F6"/>
    <w:rsid w:val="0075172A"/>
    <w:rsid w:val="00763B4E"/>
    <w:rsid w:val="007A6B78"/>
    <w:rsid w:val="007C2DF0"/>
    <w:rsid w:val="008807CA"/>
    <w:rsid w:val="008B5366"/>
    <w:rsid w:val="00A301CB"/>
    <w:rsid w:val="00A428F7"/>
    <w:rsid w:val="00A8220F"/>
    <w:rsid w:val="00C1216C"/>
    <w:rsid w:val="00C1406A"/>
    <w:rsid w:val="00C6686F"/>
    <w:rsid w:val="00CE4FAE"/>
    <w:rsid w:val="00D94E46"/>
    <w:rsid w:val="00DC3D57"/>
    <w:rsid w:val="00DC7452"/>
    <w:rsid w:val="00E474CA"/>
    <w:rsid w:val="00F611CC"/>
    <w:rsid w:val="00F81FE6"/>
    <w:rsid w:val="0B4F0A2A"/>
    <w:rsid w:val="0C7F57CF"/>
    <w:rsid w:val="5A677B7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name="Hyperlink"/>
    <w:lsdException w:qFormat="1" w:unhideWhenUsed="0" w:uiPriority="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en-US"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rPr>
      <w:sz w:val="24"/>
      <w:lang w:val="zh-CN" w:eastAsia="zh-CN"/>
    </w:rPr>
  </w:style>
  <w:style w:type="paragraph" w:styleId="3">
    <w:name w:val="Balloon Text"/>
    <w:basedOn w:val="1"/>
    <w:link w:val="13"/>
    <w:semiHidden/>
    <w:unhideWhenUsed/>
    <w:qFormat/>
    <w:uiPriority w:val="99"/>
    <w:rPr>
      <w:rFonts w:ascii="Lucida Grande" w:hAnsi="Lucida Grande"/>
      <w:sz w:val="18"/>
      <w:szCs w:val="18"/>
      <w:lang w:val="zh-CN" w:eastAsia="zh-CN"/>
    </w:rPr>
  </w:style>
  <w:style w:type="paragraph" w:styleId="4">
    <w:name w:val="footer"/>
    <w:basedOn w:val="1"/>
    <w:semiHidden/>
    <w:qFormat/>
    <w:uiPriority w:val="0"/>
    <w:pPr>
      <w:tabs>
        <w:tab w:val="center" w:pos="4153"/>
        <w:tab w:val="right" w:pos="8306"/>
      </w:tabs>
      <w:snapToGrid w:val="0"/>
      <w:jc w:val="left"/>
    </w:pPr>
    <w:rPr>
      <w:sz w:val="18"/>
      <w:szCs w:val="18"/>
    </w:rPr>
  </w:style>
  <w:style w:type="paragraph" w:styleId="5">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character" w:styleId="9">
    <w:name w:val="page number"/>
    <w:basedOn w:val="8"/>
    <w:semiHidden/>
    <w:qFormat/>
    <w:uiPriority w:val="0"/>
  </w:style>
  <w:style w:type="character" w:styleId="10">
    <w:name w:val="FollowedHyperlink"/>
    <w:semiHidden/>
    <w:qFormat/>
    <w:uiPriority w:val="0"/>
    <w:rPr>
      <w:color w:val="800080"/>
      <w:u w:val="single"/>
    </w:rPr>
  </w:style>
  <w:style w:type="character" w:styleId="11">
    <w:name w:val="Hyperlink"/>
    <w:semiHidden/>
    <w:qFormat/>
    <w:uiPriority w:val="0"/>
    <w:rPr>
      <w:color w:val="0033AA"/>
      <w:u w:val="single"/>
    </w:rPr>
  </w:style>
  <w:style w:type="character" w:styleId="12">
    <w:name w:val="annotation reference"/>
    <w:semiHidden/>
    <w:unhideWhenUsed/>
    <w:qFormat/>
    <w:uiPriority w:val="99"/>
    <w:rPr>
      <w:sz w:val="18"/>
      <w:szCs w:val="18"/>
    </w:rPr>
  </w:style>
  <w:style w:type="character" w:customStyle="1" w:styleId="13">
    <w:name w:val="批注框文本 字符"/>
    <w:link w:val="3"/>
    <w:semiHidden/>
    <w:qFormat/>
    <w:uiPriority w:val="99"/>
    <w:rPr>
      <w:rFonts w:ascii="Lucida Grande" w:hAnsi="Lucida Grande" w:cs="Lucida Grande"/>
      <w:kern w:val="2"/>
      <w:sz w:val="18"/>
      <w:szCs w:val="18"/>
    </w:rPr>
  </w:style>
  <w:style w:type="character" w:customStyle="1" w:styleId="14">
    <w:name w:val="批注文字 字符"/>
    <w:link w:val="2"/>
    <w:semiHidden/>
    <w:qFormat/>
    <w:uiPriority w:val="99"/>
    <w:rPr>
      <w:kern w:val="2"/>
      <w:sz w:val="24"/>
      <w:szCs w:val="24"/>
    </w:rPr>
  </w:style>
  <w:style w:type="character" w:customStyle="1" w:styleId="15">
    <w:name w:val="批注主题 字符"/>
    <w:link w:val="6"/>
    <w:semiHidden/>
    <w:qFormat/>
    <w:uiPriority w:val="99"/>
    <w:rPr>
      <w:b/>
      <w:bCs/>
      <w:kern w:val="2"/>
      <w:sz w:val="24"/>
      <w:szCs w:val="24"/>
    </w:rPr>
  </w:style>
  <w:style w:type="paragraph" w:customStyle="1" w:styleId="16">
    <w:name w:val="修订1"/>
    <w:hidden/>
    <w:qFormat/>
    <w:uiPriority w:val="71"/>
    <w:rPr>
      <w:rFonts w:ascii="Times New Roman" w:hAnsi="Times New Roman" w:eastAsia="宋体" w:cs="Times New Roman"/>
      <w:kern w:val="2"/>
      <w:sz w:val="21"/>
      <w:szCs w:val="24"/>
      <w:lang w:val="en-US" w:eastAsia="en-US" w:bidi="ar-SA"/>
    </w:rPr>
  </w:style>
  <w:style w:type="paragraph" w:styleId="1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8</Pages>
  <Words>4547</Words>
  <Characters>4561</Characters>
  <Lines>33</Lines>
  <Paragraphs>9</Paragraphs>
  <TotalTime>12</TotalTime>
  <ScaleCrop>false</ScaleCrop>
  <LinksUpToDate>false</LinksUpToDate>
  <CharactersWithSpaces>4599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2023-12-25T06:28:00Z</dcterms:created>
  <dc:creator>sony</dc:creator>
  <cp:lastModifiedBy>lln</cp:lastModifiedBy>
  <dcterms:modified xsi:type="dcterms:W3CDTF">2025-09-02T02:20:17Z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eyJoZGlkIjoiOTY5MGY0N2RkMmFlNDMzZDk2OWQ4NzBkNDJjZTc3NjciLCJ1c2VySWQiOiI3Mjk5Njk2NTYifQ==</vt:lpwstr>
  </property>
  <property fmtid="{D5CDD505-2E9C-101B-9397-08002B2CF9AE}" pid="3" name="KSOProductBuildVer">
    <vt:lpwstr>2052-12.1.0.22529</vt:lpwstr>
  </property>
  <property fmtid="{D5CDD505-2E9C-101B-9397-08002B2CF9AE}" pid="4" name="ICV">
    <vt:lpwstr>778729C4EEE34723B85C909250B4ADA6_13</vt:lpwstr>
  </property>
</Properties>
</file>