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139D">
      <w:pPr>
        <w:spacing w:line="298" w:lineRule="auto"/>
        <w:jc w:val="center"/>
        <w:rPr>
          <w:rFonts w:ascii="宋体" w:hAnsi="宋体" w:cs="宋体"/>
          <w:b/>
          <w:sz w:val="32"/>
          <w:szCs w:val="32"/>
        </w:rPr>
      </w:pPr>
      <w:r>
        <w:rPr>
          <w:rFonts w:hint="eastAsia" w:ascii="宋体" w:hAnsi="宋体" w:cs="宋体"/>
          <w:b/>
          <w:sz w:val="32"/>
          <w:szCs w:val="32"/>
        </w:rPr>
        <w:t>永兴特种材料科技股份有限公司</w:t>
      </w:r>
      <w:r>
        <w:rPr>
          <w:rFonts w:hint="eastAsia" w:ascii="宋体" w:hAnsi="宋体" w:cs="宋体"/>
          <w:b/>
          <w:sz w:val="32"/>
          <w:szCs w:val="32"/>
        </w:rPr>
        <w:br w:type="textWrapping"/>
      </w:r>
      <w:r>
        <w:rPr>
          <w:rFonts w:hint="eastAsia" w:ascii="宋体" w:hAnsi="宋体" w:cs="宋体"/>
          <w:b/>
          <w:sz w:val="32"/>
          <w:szCs w:val="32"/>
        </w:rPr>
        <w:t>对外投资管理制度</w:t>
      </w:r>
      <w:bookmarkStart w:id="0" w:name="_GoBack"/>
      <w:bookmarkEnd w:id="0"/>
    </w:p>
    <w:p w14:paraId="6FC38D1D">
      <w:pPr>
        <w:spacing w:line="298" w:lineRule="auto"/>
        <w:jc w:val="center"/>
        <w:rPr>
          <w:rFonts w:ascii="宋体" w:hAnsi="宋体" w:cs="宋体"/>
          <w:b/>
          <w:sz w:val="30"/>
          <w:szCs w:val="30"/>
        </w:rPr>
      </w:pPr>
    </w:p>
    <w:p w14:paraId="310DC77C">
      <w:pPr>
        <w:numPr>
          <w:ilvl w:val="0"/>
          <w:numId w:val="1"/>
        </w:numPr>
        <w:tabs>
          <w:tab w:val="left" w:pos="1080"/>
          <w:tab w:val="clear" w:pos="4260"/>
        </w:tabs>
        <w:spacing w:line="298" w:lineRule="auto"/>
        <w:ind w:left="0" w:firstLine="0"/>
        <w:jc w:val="center"/>
        <w:rPr>
          <w:rFonts w:ascii="宋体" w:hAnsi="宋体" w:cs="宋体"/>
          <w:b/>
          <w:sz w:val="24"/>
        </w:rPr>
      </w:pPr>
      <w:r>
        <w:rPr>
          <w:rFonts w:hint="eastAsia" w:ascii="宋体" w:hAnsi="宋体" w:cs="宋体"/>
          <w:b/>
          <w:sz w:val="24"/>
        </w:rPr>
        <w:t>总则</w:t>
      </w:r>
    </w:p>
    <w:p w14:paraId="32FC6FCF">
      <w:pPr>
        <w:tabs>
          <w:tab w:val="left" w:pos="1440"/>
          <w:tab w:val="left" w:pos="1980"/>
        </w:tabs>
        <w:spacing w:line="298" w:lineRule="auto"/>
        <w:rPr>
          <w:rFonts w:ascii="宋体" w:hAnsi="宋体" w:cs="宋体"/>
          <w:b/>
          <w:sz w:val="24"/>
        </w:rPr>
      </w:pPr>
    </w:p>
    <w:p w14:paraId="3CE34238">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为了加强永兴特种材料科技股份有限公司(下称“公司”)对外投资活动的内部控制, 规范对外投资行为, 有效防范公司对外投资风险, 确保公司对外投资安全, 提高对外投资效益, 根据《中华人民共和国公司法》</w:t>
      </w:r>
      <w:r>
        <w:rPr>
          <w:rFonts w:hint="eastAsia" w:ascii="宋体" w:hAnsi="宋体" w:cs="宋体"/>
          <w:sz w:val="23"/>
          <w:szCs w:val="23"/>
        </w:rPr>
        <w:t>等法律、法规和规范性文件、证券交易所有关规定以及</w:t>
      </w:r>
      <w:r>
        <w:rPr>
          <w:rFonts w:hint="eastAsia" w:ascii="宋体" w:hAnsi="宋体" w:cs="宋体"/>
          <w:sz w:val="24"/>
        </w:rPr>
        <w:t>本公司章程的相关规定, 特制定本制度。</w:t>
      </w:r>
    </w:p>
    <w:p w14:paraId="0D702D2D">
      <w:pPr>
        <w:spacing w:line="298" w:lineRule="auto"/>
        <w:rPr>
          <w:rFonts w:ascii="宋体" w:hAnsi="宋体" w:cs="宋体"/>
          <w:sz w:val="24"/>
        </w:rPr>
      </w:pPr>
      <w:r>
        <w:rPr>
          <w:rFonts w:hint="eastAsia" w:ascii="宋体" w:hAnsi="宋体" w:cs="宋体"/>
          <w:sz w:val="24"/>
        </w:rPr>
        <w:t xml:space="preserve"> </w:t>
      </w:r>
    </w:p>
    <w:p w14:paraId="005E98D1">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本制度所称对外投资是指公司为扩大生产经营规模或实施新产品战略, 以获取长期收益为目的, 将现金、实物、无形资产等可供支配的资源投向其他组织或个人或购买固定资产的行为, 包括但不限于投资新建全资企业、与其他单位进行联营、合营、兼并或进行股权收购、转让、项目资本增减、购买机器设备及房产土地等。</w:t>
      </w:r>
    </w:p>
    <w:p w14:paraId="3FE5A61E">
      <w:pPr>
        <w:tabs>
          <w:tab w:val="left" w:pos="1440"/>
        </w:tabs>
        <w:spacing w:line="298" w:lineRule="auto"/>
        <w:ind w:left="1440" w:hanging="1440" w:hangingChars="600"/>
        <w:rPr>
          <w:rFonts w:ascii="宋体" w:hAnsi="宋体" w:cs="宋体"/>
          <w:sz w:val="24"/>
        </w:rPr>
      </w:pPr>
    </w:p>
    <w:p w14:paraId="70E98698">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公司所有投资行为必须符合国家有关法规及产业政策, 符合公司长远发展计划和发展战略, 有利于拓展主营业务, 扩大再生产, 有利于公司的可持续发展, 有利于提高公司的整体经济利益。</w:t>
      </w:r>
    </w:p>
    <w:p w14:paraId="74FC069A">
      <w:pPr>
        <w:tabs>
          <w:tab w:val="left" w:pos="1980"/>
        </w:tabs>
        <w:spacing w:line="298" w:lineRule="auto"/>
        <w:ind w:left="1440"/>
        <w:rPr>
          <w:rFonts w:ascii="宋体" w:hAnsi="宋体" w:cs="宋体"/>
          <w:sz w:val="24"/>
        </w:rPr>
      </w:pPr>
    </w:p>
    <w:p w14:paraId="6DDAA58D">
      <w:pPr>
        <w:tabs>
          <w:tab w:val="left" w:pos="1980"/>
        </w:tabs>
        <w:spacing w:line="298" w:lineRule="auto"/>
        <w:ind w:left="1440"/>
        <w:rPr>
          <w:rFonts w:ascii="宋体" w:hAnsi="宋体" w:cs="宋体"/>
          <w:sz w:val="24"/>
        </w:rPr>
      </w:pPr>
      <w:r>
        <w:rPr>
          <w:rFonts w:hint="eastAsia" w:ascii="宋体" w:hAnsi="宋体" w:cs="宋体"/>
          <w:sz w:val="24"/>
        </w:rPr>
        <w:t>根据国家对投资行为管理的有关要求, 需要报政府部门审批的, 应履行必要的报批手续。</w:t>
      </w:r>
    </w:p>
    <w:p w14:paraId="2E39E1A7">
      <w:pPr>
        <w:spacing w:line="298" w:lineRule="auto"/>
        <w:rPr>
          <w:rFonts w:ascii="宋体" w:hAnsi="宋体" w:cs="宋体"/>
          <w:sz w:val="24"/>
        </w:rPr>
      </w:pPr>
    </w:p>
    <w:p w14:paraId="62D6C3DD">
      <w:pPr>
        <w:numPr>
          <w:ilvl w:val="0"/>
          <w:numId w:val="1"/>
        </w:numPr>
        <w:tabs>
          <w:tab w:val="left" w:pos="1080"/>
          <w:tab w:val="clear" w:pos="4260"/>
        </w:tabs>
        <w:spacing w:line="298" w:lineRule="auto"/>
        <w:ind w:left="0" w:firstLine="0"/>
        <w:jc w:val="center"/>
        <w:rPr>
          <w:rFonts w:ascii="宋体" w:hAnsi="宋体" w:cs="宋体"/>
          <w:b/>
          <w:sz w:val="24"/>
        </w:rPr>
      </w:pPr>
      <w:r>
        <w:rPr>
          <w:rFonts w:hint="eastAsia" w:ascii="宋体" w:hAnsi="宋体" w:cs="宋体"/>
          <w:b/>
          <w:sz w:val="24"/>
        </w:rPr>
        <w:t>投资决策</w:t>
      </w:r>
    </w:p>
    <w:p w14:paraId="054AC367">
      <w:pPr>
        <w:spacing w:line="298" w:lineRule="auto"/>
        <w:ind w:left="3435"/>
        <w:rPr>
          <w:rFonts w:ascii="宋体" w:hAnsi="宋体" w:cs="宋体"/>
          <w:b/>
          <w:sz w:val="24"/>
        </w:rPr>
      </w:pPr>
    </w:p>
    <w:p w14:paraId="42959AE1">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公司对外投资的决策机构为股东会、董事会及</w:t>
      </w:r>
      <w:r>
        <w:rPr>
          <w:rFonts w:hint="eastAsia" w:ascii="宋体" w:hAnsi="宋体" w:cs="宋体"/>
          <w:sz w:val="24"/>
          <w:lang w:val="en-US" w:eastAsia="zh-CN"/>
        </w:rPr>
        <w:t>董事长</w:t>
      </w:r>
      <w:r>
        <w:rPr>
          <w:rFonts w:hint="eastAsia" w:ascii="宋体" w:hAnsi="宋体" w:cs="宋体"/>
          <w:sz w:val="24"/>
        </w:rPr>
        <w:t>, 各自在其权限范围内, 依法对公司的对外投资作出决策。</w:t>
      </w:r>
    </w:p>
    <w:p w14:paraId="311C4DB0">
      <w:pPr>
        <w:spacing w:line="298" w:lineRule="auto"/>
        <w:rPr>
          <w:rFonts w:ascii="宋体" w:hAnsi="宋体" w:cs="宋体"/>
          <w:b/>
          <w:sz w:val="24"/>
        </w:rPr>
      </w:pPr>
    </w:p>
    <w:p w14:paraId="24A6290D">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 xml:space="preserve">公司对外投资的金额达到下列标准之一的, 应当提交董事会审议: </w:t>
      </w:r>
    </w:p>
    <w:p w14:paraId="5765C84A">
      <w:pPr>
        <w:tabs>
          <w:tab w:val="left" w:pos="1980"/>
        </w:tabs>
        <w:spacing w:line="298" w:lineRule="auto"/>
        <w:rPr>
          <w:rFonts w:ascii="宋体" w:hAnsi="宋体" w:cs="宋体"/>
          <w:sz w:val="24"/>
        </w:rPr>
      </w:pPr>
    </w:p>
    <w:p w14:paraId="002D608D">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交易涉及的资产总额占公司最近一期经审计总资产的10%以上, 该交易涉及的资产总额同时存在账面值和评估值的, 以较高者作为计算数据;</w:t>
      </w:r>
    </w:p>
    <w:p w14:paraId="0919D082">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交易标的(如股权)涉及的资产净额占公司最近一期经审计净资产的10%以上, 且绝对金额超过1000万元, 该交易涉及的资产净额同时存在账面值和评估值的, 以较高者为准;</w:t>
      </w:r>
    </w:p>
    <w:p w14:paraId="1A7E69B0">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交易标的(如股权)在最近一个会计年度相关的营业收入占公司最近一个会计年度经审计营业收入的10%以上, 且绝对金额超过1000万元人民币;</w:t>
      </w:r>
    </w:p>
    <w:p w14:paraId="2984EFD6">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交易标的(如股权)在最近一个会计年度相关的净利润占公司最近一个会计年度经审计净利润的10%以上, 且绝对金额超过100万元人民币;</w:t>
      </w:r>
    </w:p>
    <w:p w14:paraId="71E7AF81">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交易的成交金额(含承担债务和费用)占公司最近一期经审计净资产的10%以上, 且绝对金额超过1000万元人民币;</w:t>
      </w:r>
    </w:p>
    <w:p w14:paraId="4C62C855">
      <w:pPr>
        <w:numPr>
          <w:ilvl w:val="4"/>
          <w:numId w:val="3"/>
        </w:numPr>
        <w:tabs>
          <w:tab w:val="left" w:pos="1800"/>
          <w:tab w:val="left" w:pos="2268"/>
          <w:tab w:val="left" w:pos="3150"/>
          <w:tab w:val="left" w:pos="3780"/>
          <w:tab w:val="clear" w:pos="2100"/>
        </w:tabs>
        <w:spacing w:line="298" w:lineRule="auto"/>
        <w:ind w:left="2268" w:hanging="828"/>
        <w:rPr>
          <w:rFonts w:ascii="宋体" w:hAnsi="宋体" w:cs="宋体"/>
          <w:sz w:val="24"/>
        </w:rPr>
      </w:pPr>
      <w:r>
        <w:rPr>
          <w:rFonts w:hint="eastAsia" w:ascii="宋体" w:hAnsi="宋体" w:cs="宋体"/>
          <w:sz w:val="24"/>
        </w:rPr>
        <w:t>交易产生的利润占公司最近一个会计年度经审计净利润的10%以上, 且绝对金额超过100万元人民币。</w:t>
      </w:r>
    </w:p>
    <w:p w14:paraId="611A550D">
      <w:pPr>
        <w:spacing w:line="298" w:lineRule="auto"/>
        <w:ind w:firstLine="1440" w:firstLineChars="600"/>
        <w:rPr>
          <w:rFonts w:ascii="宋体" w:hAnsi="宋体" w:cs="宋体"/>
          <w:sz w:val="24"/>
        </w:rPr>
      </w:pPr>
    </w:p>
    <w:p w14:paraId="370E6EA1">
      <w:pPr>
        <w:spacing w:line="298" w:lineRule="auto"/>
        <w:ind w:firstLine="1440" w:firstLineChars="600"/>
        <w:rPr>
          <w:rFonts w:ascii="宋体" w:hAnsi="宋体" w:cs="宋体"/>
          <w:color w:val="000000"/>
          <w:sz w:val="24"/>
        </w:rPr>
      </w:pPr>
      <w:r>
        <w:rPr>
          <w:rFonts w:hint="eastAsia" w:ascii="宋体" w:hAnsi="宋体" w:cs="宋体"/>
          <w:color w:val="000000"/>
          <w:sz w:val="24"/>
        </w:rPr>
        <w:t>上述</w:t>
      </w:r>
      <w:r>
        <w:rPr>
          <w:rFonts w:hint="eastAsia" w:ascii="宋体" w:hAnsi="宋体" w:cs="宋体"/>
          <w:sz w:val="24"/>
        </w:rPr>
        <w:t>指标</w:t>
      </w:r>
      <w:r>
        <w:rPr>
          <w:rFonts w:hint="eastAsia" w:ascii="宋体" w:hAnsi="宋体" w:cs="宋体"/>
          <w:color w:val="000000"/>
          <w:sz w:val="24"/>
        </w:rPr>
        <w:t>计算中涉及的数据如为负值, 取其绝对值计算。</w:t>
      </w:r>
    </w:p>
    <w:p w14:paraId="66442964">
      <w:pPr>
        <w:spacing w:line="298" w:lineRule="auto"/>
        <w:ind w:firstLine="1440" w:firstLineChars="600"/>
        <w:rPr>
          <w:rFonts w:ascii="宋体" w:hAnsi="宋体" w:cs="宋体"/>
          <w:sz w:val="24"/>
        </w:rPr>
      </w:pPr>
    </w:p>
    <w:p w14:paraId="1F49F621">
      <w:pPr>
        <w:spacing w:line="298" w:lineRule="auto"/>
        <w:ind w:firstLine="1440" w:firstLineChars="600"/>
        <w:rPr>
          <w:rFonts w:ascii="宋体" w:hAnsi="宋体" w:cs="宋体"/>
          <w:sz w:val="24"/>
        </w:rPr>
      </w:pPr>
      <w:r>
        <w:rPr>
          <w:rFonts w:hint="eastAsia" w:ascii="宋体" w:hAnsi="宋体" w:cs="宋体"/>
          <w:sz w:val="24"/>
        </w:rPr>
        <w:t>以上金额以下的对外投资, 由公司</w:t>
      </w:r>
      <w:r>
        <w:rPr>
          <w:rFonts w:hint="eastAsia" w:ascii="宋体" w:hAnsi="宋体" w:cs="宋体"/>
          <w:sz w:val="24"/>
          <w:lang w:val="en-US" w:eastAsia="zh-CN"/>
        </w:rPr>
        <w:t>董事长</w:t>
      </w:r>
      <w:r>
        <w:rPr>
          <w:rFonts w:hint="eastAsia" w:ascii="宋体" w:hAnsi="宋体" w:cs="宋体"/>
          <w:sz w:val="24"/>
        </w:rPr>
        <w:t>决定。</w:t>
      </w:r>
    </w:p>
    <w:p w14:paraId="086F0A8D">
      <w:pPr>
        <w:spacing w:line="298" w:lineRule="auto"/>
        <w:ind w:firstLine="1440" w:firstLineChars="600"/>
        <w:rPr>
          <w:rFonts w:ascii="宋体" w:hAnsi="宋体" w:cs="宋体"/>
          <w:sz w:val="24"/>
        </w:rPr>
      </w:pPr>
    </w:p>
    <w:p w14:paraId="289D3E5E">
      <w:pPr>
        <w:numPr>
          <w:ilvl w:val="1"/>
          <w:numId w:val="2"/>
        </w:numPr>
        <w:tabs>
          <w:tab w:val="left" w:pos="1440"/>
          <w:tab w:val="left" w:pos="1980"/>
          <w:tab w:val="clear" w:pos="816"/>
        </w:tabs>
        <w:spacing w:line="298" w:lineRule="auto"/>
        <w:ind w:left="1440" w:hanging="1440"/>
        <w:rPr>
          <w:rFonts w:ascii="宋体" w:hAnsi="宋体" w:cs="宋体"/>
          <w:i/>
          <w:iCs/>
          <w:color w:val="000000"/>
          <w:sz w:val="24"/>
        </w:rPr>
      </w:pPr>
      <w:r>
        <w:rPr>
          <w:rFonts w:hint="eastAsia" w:ascii="宋体" w:hAnsi="宋体" w:cs="宋体"/>
          <w:sz w:val="24"/>
        </w:rPr>
        <w:t>公司对外投资的金额</w:t>
      </w:r>
      <w:r>
        <w:rPr>
          <w:rFonts w:hint="eastAsia" w:ascii="宋体" w:hAnsi="宋体" w:cs="宋体"/>
          <w:color w:val="000000"/>
          <w:sz w:val="24"/>
        </w:rPr>
        <w:t>达到下列</w:t>
      </w:r>
      <w:r>
        <w:rPr>
          <w:rFonts w:hint="eastAsia" w:ascii="宋体" w:hAnsi="宋体" w:cs="宋体"/>
          <w:sz w:val="24"/>
        </w:rPr>
        <w:t>标准</w:t>
      </w:r>
      <w:r>
        <w:rPr>
          <w:rFonts w:hint="eastAsia" w:ascii="宋体" w:hAnsi="宋体" w:cs="宋体"/>
          <w:color w:val="000000"/>
          <w:sz w:val="24"/>
        </w:rPr>
        <w:t>之一的</w:t>
      </w:r>
      <w:r>
        <w:rPr>
          <w:rFonts w:hint="eastAsia" w:ascii="宋体" w:hAnsi="宋体" w:cs="宋体"/>
          <w:sz w:val="24"/>
        </w:rPr>
        <w:t>, 须经股东会审议通过</w:t>
      </w:r>
      <w:r>
        <w:rPr>
          <w:rFonts w:hint="eastAsia" w:ascii="宋体" w:hAnsi="宋体" w:cs="宋体"/>
          <w:color w:val="000000"/>
          <w:sz w:val="24"/>
        </w:rPr>
        <w:t xml:space="preserve">: </w:t>
      </w:r>
    </w:p>
    <w:p w14:paraId="3D4AA50D">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 xml:space="preserve">交易涉及的资产总额占公司最近一期经审计总资产的50%以上, 该交易涉及的资产总额同时存在账面值和评估值的, 以较高者作为计算数据; </w:t>
      </w:r>
    </w:p>
    <w:p w14:paraId="7BD15789">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交易标的(如股权)涉及的资产净额占公司最近一期经审计净资产的50%以上, 且绝对金额超过5000万元, 该交易涉及的资产净额同时存在账面值和评估值的, 以较高者为准;</w:t>
      </w:r>
    </w:p>
    <w:p w14:paraId="1A5FA346">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 xml:space="preserve">交易标的(如股权)在最近一个会计年度相关的营业收入占公司最近一个会计年度经审计营业收入的50%以上, 且绝对金额超过5000万元人民币; </w:t>
      </w:r>
    </w:p>
    <w:p w14:paraId="6F23DA68">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 xml:space="preserve">交易标的(如股权)在最近一个会计年度相关的净利润占公司最近一个会计年度经审计净利润的50%以上, 且绝对金额超过500万元人民币; </w:t>
      </w:r>
    </w:p>
    <w:p w14:paraId="651888AA">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 xml:space="preserve">交易的成交金额(含承担债务和费用)占公司最近一期经审计净资产的50%以上, 且绝对金额超过5000万元人民币; </w:t>
      </w:r>
    </w:p>
    <w:p w14:paraId="43C6F2DE">
      <w:pPr>
        <w:numPr>
          <w:ilvl w:val="0"/>
          <w:numId w:val="4"/>
        </w:numPr>
        <w:tabs>
          <w:tab w:val="left" w:pos="2268"/>
        </w:tabs>
        <w:spacing w:line="298" w:lineRule="auto"/>
        <w:ind w:left="2268" w:hanging="827"/>
        <w:rPr>
          <w:rFonts w:ascii="宋体" w:hAnsi="宋体" w:cs="宋体"/>
          <w:sz w:val="24"/>
        </w:rPr>
      </w:pPr>
      <w:r>
        <w:rPr>
          <w:rFonts w:hint="eastAsia" w:ascii="宋体" w:hAnsi="宋体" w:cs="宋体"/>
          <w:sz w:val="24"/>
        </w:rPr>
        <w:t>交易产生的利润占公司最近一个会计年度经审计净利润的50%以上, 且绝对金额超过500万元人民币。</w:t>
      </w:r>
    </w:p>
    <w:p w14:paraId="77CFA9A7">
      <w:pPr>
        <w:tabs>
          <w:tab w:val="left" w:pos="2520"/>
          <w:tab w:val="left" w:pos="3150"/>
          <w:tab w:val="left" w:pos="3780"/>
        </w:tabs>
        <w:spacing w:line="298" w:lineRule="auto"/>
        <w:ind w:left="1905"/>
        <w:rPr>
          <w:rFonts w:ascii="宋体" w:hAnsi="宋体" w:cs="宋体"/>
          <w:color w:val="000000"/>
          <w:sz w:val="24"/>
        </w:rPr>
      </w:pPr>
    </w:p>
    <w:p w14:paraId="45EC0577">
      <w:pPr>
        <w:spacing w:line="298" w:lineRule="auto"/>
        <w:ind w:left="1440"/>
        <w:rPr>
          <w:rFonts w:ascii="宋体" w:hAnsi="宋体" w:cs="宋体"/>
          <w:color w:val="000000"/>
          <w:sz w:val="24"/>
        </w:rPr>
      </w:pPr>
      <w:r>
        <w:rPr>
          <w:rFonts w:hint="eastAsia" w:ascii="宋体" w:hAnsi="宋体" w:cs="宋体"/>
          <w:color w:val="000000"/>
          <w:sz w:val="24"/>
        </w:rPr>
        <w:t>交易标的为"购买或出售资产"时, 应以资产总额和成交金额中的较高者作为计算标准, 并按交易事项的类型在连续十二个月内累计计算, 经累计计算达到公司最近一期经审计总资产30%的事项, 应提交股东会审议, 并经出席会议的股东所持表决权的三分之二以上通过。</w:t>
      </w:r>
    </w:p>
    <w:p w14:paraId="29CDAB26">
      <w:pPr>
        <w:tabs>
          <w:tab w:val="left" w:pos="2268"/>
        </w:tabs>
        <w:spacing w:line="298" w:lineRule="auto"/>
        <w:ind w:left="2268"/>
        <w:rPr>
          <w:rFonts w:ascii="宋体" w:hAnsi="宋体" w:cs="宋体"/>
          <w:color w:val="000000"/>
          <w:sz w:val="24"/>
        </w:rPr>
      </w:pPr>
    </w:p>
    <w:p w14:paraId="5CDB23B3">
      <w:pPr>
        <w:spacing w:line="298" w:lineRule="auto"/>
        <w:ind w:left="1440"/>
        <w:rPr>
          <w:rFonts w:ascii="宋体" w:hAnsi="宋体" w:cs="宋体"/>
          <w:color w:val="000000"/>
          <w:sz w:val="24"/>
        </w:rPr>
      </w:pPr>
      <w:r>
        <w:rPr>
          <w:rFonts w:hint="eastAsia" w:ascii="宋体" w:hAnsi="宋体" w:cs="宋体"/>
          <w:color w:val="000000"/>
          <w:sz w:val="24"/>
        </w:rPr>
        <w:t>上述指标计算中涉及的数据如为负值, 取其绝对值计算。</w:t>
      </w:r>
    </w:p>
    <w:p w14:paraId="7AD5D211">
      <w:pPr>
        <w:spacing w:line="298" w:lineRule="auto"/>
        <w:ind w:firstLine="1440" w:firstLineChars="600"/>
        <w:rPr>
          <w:rFonts w:ascii="宋体" w:hAnsi="宋体" w:cs="宋体"/>
          <w:sz w:val="24"/>
        </w:rPr>
      </w:pPr>
    </w:p>
    <w:p w14:paraId="69339045">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 xml:space="preserve">对外投资项目的投资建议, 由公司的股东、董事、高级管理人员和相关职能部门书面提出。 </w:t>
      </w:r>
    </w:p>
    <w:p w14:paraId="1379B010">
      <w:pPr>
        <w:tabs>
          <w:tab w:val="left" w:pos="1440"/>
        </w:tabs>
        <w:spacing w:line="298" w:lineRule="auto"/>
        <w:ind w:left="1440" w:hanging="1440" w:hangingChars="600"/>
        <w:rPr>
          <w:rFonts w:ascii="宋体" w:hAnsi="宋体" w:cs="宋体"/>
          <w:sz w:val="24"/>
        </w:rPr>
      </w:pPr>
    </w:p>
    <w:p w14:paraId="4E3B9DAC">
      <w:pPr>
        <w:numPr>
          <w:ilvl w:val="0"/>
          <w:numId w:val="1"/>
        </w:numPr>
        <w:tabs>
          <w:tab w:val="left" w:pos="1080"/>
          <w:tab w:val="clear" w:pos="4260"/>
        </w:tabs>
        <w:spacing w:line="298" w:lineRule="auto"/>
        <w:ind w:left="0" w:firstLine="0"/>
        <w:jc w:val="center"/>
        <w:rPr>
          <w:rFonts w:ascii="宋体" w:hAnsi="宋体" w:cs="宋体"/>
          <w:b/>
          <w:sz w:val="24"/>
        </w:rPr>
      </w:pPr>
      <w:r>
        <w:rPr>
          <w:rFonts w:hint="eastAsia" w:ascii="宋体" w:hAnsi="宋体" w:cs="宋体"/>
          <w:b/>
          <w:sz w:val="24"/>
        </w:rPr>
        <w:t>检查和监督</w:t>
      </w:r>
    </w:p>
    <w:p w14:paraId="2A301960">
      <w:pPr>
        <w:tabs>
          <w:tab w:val="left" w:pos="1980"/>
        </w:tabs>
        <w:spacing w:line="298" w:lineRule="auto"/>
        <w:rPr>
          <w:rFonts w:ascii="宋体" w:hAnsi="宋体" w:cs="宋体"/>
          <w:sz w:val="24"/>
        </w:rPr>
      </w:pPr>
    </w:p>
    <w:p w14:paraId="123C7813">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在前述投资项目通过后及实施过程中, 董事、高级管理人员和相关职能部门如发现该方案有重大疏漏、项目实施的外部环境发生重大变化或不可抗力之影响, 可能导致投资失败, 应提议召开董事会临时会议, 对投资方案进行修改、变更或终止。经过股东会批准的投资项目, 其投资方案的修改、变更或终止需召开股东会进行审议。</w:t>
      </w:r>
    </w:p>
    <w:p w14:paraId="503737C3">
      <w:pPr>
        <w:autoSpaceDE w:val="0"/>
        <w:autoSpaceDN w:val="0"/>
        <w:adjustRightInd w:val="0"/>
        <w:snapToGrid w:val="0"/>
        <w:spacing w:line="298" w:lineRule="auto"/>
        <w:rPr>
          <w:rFonts w:ascii="宋体" w:hAnsi="宋体" w:cs="宋体"/>
          <w:sz w:val="24"/>
        </w:rPr>
      </w:pPr>
    </w:p>
    <w:p w14:paraId="12A6AA40">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投资项目完成后, 公司应组织相关部门和人员进行检查, 根据实际情况向董事会、股东会报告。</w:t>
      </w:r>
    </w:p>
    <w:p w14:paraId="649E7A38">
      <w:pPr>
        <w:autoSpaceDE w:val="0"/>
        <w:autoSpaceDN w:val="0"/>
        <w:adjustRightInd w:val="0"/>
        <w:snapToGrid w:val="0"/>
        <w:spacing w:line="298" w:lineRule="auto"/>
        <w:jc w:val="left"/>
        <w:rPr>
          <w:rFonts w:ascii="宋体" w:hAnsi="宋体" w:cs="宋体"/>
          <w:sz w:val="24"/>
        </w:rPr>
      </w:pPr>
    </w:p>
    <w:p w14:paraId="73DBDC33">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独立董事有权对公司投资行为进行检查。</w:t>
      </w:r>
    </w:p>
    <w:p w14:paraId="4814584A">
      <w:pPr>
        <w:autoSpaceDE w:val="0"/>
        <w:autoSpaceDN w:val="0"/>
        <w:adjustRightInd w:val="0"/>
        <w:snapToGrid w:val="0"/>
        <w:spacing w:line="298" w:lineRule="auto"/>
        <w:jc w:val="left"/>
        <w:rPr>
          <w:rFonts w:ascii="宋体" w:hAnsi="宋体" w:cs="宋体"/>
          <w:sz w:val="24"/>
        </w:rPr>
      </w:pPr>
    </w:p>
    <w:p w14:paraId="58A4AA7A">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公司审计委员会有权对公司投资行为进行监督。</w:t>
      </w:r>
    </w:p>
    <w:p w14:paraId="18C89AF7">
      <w:pPr>
        <w:tabs>
          <w:tab w:val="left" w:pos="1080"/>
        </w:tabs>
        <w:autoSpaceDE w:val="0"/>
        <w:autoSpaceDN w:val="0"/>
        <w:adjustRightInd w:val="0"/>
        <w:snapToGrid w:val="0"/>
        <w:spacing w:line="298" w:lineRule="auto"/>
        <w:jc w:val="left"/>
        <w:rPr>
          <w:rFonts w:ascii="宋体" w:hAnsi="宋体" w:cs="宋体"/>
          <w:sz w:val="24"/>
        </w:rPr>
      </w:pPr>
    </w:p>
    <w:p w14:paraId="45F4BD8E">
      <w:pPr>
        <w:numPr>
          <w:ilvl w:val="0"/>
          <w:numId w:val="1"/>
        </w:numPr>
        <w:tabs>
          <w:tab w:val="left" w:pos="1080"/>
          <w:tab w:val="clear" w:pos="4260"/>
        </w:tabs>
        <w:spacing w:line="298" w:lineRule="auto"/>
        <w:ind w:left="0" w:firstLine="0"/>
        <w:jc w:val="center"/>
        <w:rPr>
          <w:rFonts w:ascii="宋体" w:hAnsi="宋体" w:cs="宋体"/>
          <w:b/>
          <w:sz w:val="24"/>
        </w:rPr>
      </w:pPr>
      <w:r>
        <w:rPr>
          <w:rFonts w:hint="eastAsia" w:ascii="宋体" w:hAnsi="宋体" w:cs="宋体"/>
          <w:b/>
          <w:sz w:val="24"/>
        </w:rPr>
        <w:t>附则</w:t>
      </w:r>
    </w:p>
    <w:p w14:paraId="1E997190">
      <w:pPr>
        <w:spacing w:line="298" w:lineRule="auto"/>
        <w:ind w:left="3435"/>
        <w:rPr>
          <w:rFonts w:ascii="宋体" w:hAnsi="宋体" w:cs="宋体"/>
          <w:sz w:val="24"/>
        </w:rPr>
      </w:pPr>
    </w:p>
    <w:p w14:paraId="20743AFA">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 xml:space="preserve">本制度所称“以上”含本数。 </w:t>
      </w:r>
    </w:p>
    <w:p w14:paraId="711EC893">
      <w:pPr>
        <w:tabs>
          <w:tab w:val="left" w:pos="1440"/>
          <w:tab w:val="left" w:pos="1980"/>
        </w:tabs>
        <w:spacing w:line="298" w:lineRule="auto"/>
        <w:rPr>
          <w:rFonts w:ascii="宋体" w:hAnsi="宋体" w:cs="宋体"/>
          <w:sz w:val="24"/>
        </w:rPr>
      </w:pPr>
    </w:p>
    <w:p w14:paraId="3DCD142A">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 xml:space="preserve">本制度经公司股东会批准后生效。 </w:t>
      </w:r>
    </w:p>
    <w:p w14:paraId="229C8487">
      <w:pPr>
        <w:tabs>
          <w:tab w:val="left" w:pos="1440"/>
          <w:tab w:val="left" w:pos="1980"/>
        </w:tabs>
        <w:spacing w:line="298" w:lineRule="auto"/>
        <w:rPr>
          <w:rFonts w:ascii="宋体" w:hAnsi="宋体" w:cs="宋体"/>
          <w:sz w:val="24"/>
        </w:rPr>
      </w:pPr>
    </w:p>
    <w:p w14:paraId="2808F887">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本制度未尽事宜, 按照有关法律、法规、规范性文件和公司章程的规定执行; 如本工作细则内容与法律、法规、规范性文件或公司章程相抵触时, 以法律、法规、规范性文件和公司章程的规定为准。</w:t>
      </w:r>
    </w:p>
    <w:p w14:paraId="766CB198">
      <w:pPr>
        <w:tabs>
          <w:tab w:val="left" w:pos="1980"/>
        </w:tabs>
        <w:spacing w:line="298" w:lineRule="auto"/>
        <w:rPr>
          <w:rFonts w:ascii="宋体" w:hAnsi="宋体" w:cs="宋体"/>
          <w:sz w:val="24"/>
        </w:rPr>
      </w:pPr>
    </w:p>
    <w:p w14:paraId="4ACA5B37">
      <w:pPr>
        <w:numPr>
          <w:ilvl w:val="1"/>
          <w:numId w:val="2"/>
        </w:numPr>
        <w:tabs>
          <w:tab w:val="left" w:pos="1440"/>
          <w:tab w:val="left" w:pos="1980"/>
          <w:tab w:val="clear" w:pos="816"/>
        </w:tabs>
        <w:spacing w:line="298" w:lineRule="auto"/>
        <w:ind w:left="1440" w:hanging="1440"/>
        <w:rPr>
          <w:rFonts w:ascii="宋体" w:hAnsi="宋体" w:cs="宋体"/>
          <w:sz w:val="24"/>
        </w:rPr>
      </w:pPr>
      <w:r>
        <w:rPr>
          <w:rFonts w:hint="eastAsia" w:ascii="宋体" w:hAnsi="宋体" w:cs="宋体"/>
          <w:sz w:val="24"/>
        </w:rPr>
        <w:t xml:space="preserve">本制度由公司董事会负责解释。 </w:t>
      </w:r>
    </w:p>
    <w:p w14:paraId="38A6A7B4">
      <w:pPr>
        <w:tabs>
          <w:tab w:val="left" w:pos="6120"/>
          <w:tab w:val="left" w:pos="8280"/>
        </w:tabs>
        <w:wordWrap w:val="0"/>
        <w:spacing w:line="360" w:lineRule="auto"/>
        <w:ind w:right="26" w:firstLine="4319" w:firstLineChars="1878"/>
        <w:jc w:val="right"/>
        <w:rPr>
          <w:rFonts w:ascii="宋体" w:hAnsi="宋体" w:cs="宋体"/>
          <w:sz w:val="23"/>
          <w:szCs w:val="23"/>
        </w:rPr>
      </w:pPr>
    </w:p>
    <w:sectPr>
      <w:headerReference r:id="rId3" w:type="default"/>
      <w:footerReference r:id="rId4" w:type="default"/>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591F">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34FF">
    <w:pPr>
      <w:pStyle w:val="4"/>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永兴特种材料科技股份有限公司对外投资管理制度</w:t>
    </w:r>
  </w:p>
  <w:p w14:paraId="5049B408">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97F27"/>
    <w:multiLevelType w:val="multilevel"/>
    <w:tmpl w:val="1B997F27"/>
    <w:lvl w:ilvl="0" w:tentative="0">
      <w:start w:val="1"/>
      <w:numFmt w:val="chineseCountingThousand"/>
      <w:lvlText w:val="(%1)"/>
      <w:lvlJc w:val="left"/>
      <w:pPr>
        <w:tabs>
          <w:tab w:val="left" w:pos="2940"/>
        </w:tabs>
        <w:ind w:left="29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chineseCountingThousand"/>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CB0E96"/>
    <w:multiLevelType w:val="multilevel"/>
    <w:tmpl w:val="29CB0E96"/>
    <w:lvl w:ilvl="0" w:tentative="0">
      <w:start w:val="1"/>
      <w:numFmt w:val="chineseCountingThousand"/>
      <w:lvlText w:val="第%1条"/>
      <w:lvlJc w:val="left"/>
      <w:pPr>
        <w:tabs>
          <w:tab w:val="left" w:pos="816"/>
        </w:tabs>
        <w:ind w:left="816" w:hanging="396"/>
      </w:pPr>
      <w:rPr>
        <w:rFonts w:hint="default" w:ascii="Arial" w:hAnsi="Arial" w:eastAsia="宋体"/>
        <w:b w:val="0"/>
        <w:i w:val="0"/>
        <w:sz w:val="23"/>
        <w:szCs w:val="23"/>
      </w:rPr>
    </w:lvl>
    <w:lvl w:ilvl="1" w:tentative="0">
      <w:start w:val="1"/>
      <w:numFmt w:val="chineseCountingThousand"/>
      <w:lvlText w:val="第%2条"/>
      <w:lvlJc w:val="left"/>
      <w:pPr>
        <w:tabs>
          <w:tab w:val="left" w:pos="816"/>
        </w:tabs>
        <w:ind w:left="816" w:hanging="396"/>
      </w:pPr>
      <w:rPr>
        <w:rFonts w:hint="default" w:ascii="Arial" w:hAnsi="Arial" w:eastAsia="宋体"/>
        <w:b w:val="0"/>
        <w:i w:val="0"/>
        <w:sz w:val="23"/>
        <w:szCs w:val="23"/>
      </w:rPr>
    </w:lvl>
    <w:lvl w:ilvl="2" w:tentative="0">
      <w:start w:val="1"/>
      <w:numFmt w:val="chineseCountingThousand"/>
      <w:lvlText w:val="(%3)"/>
      <w:lvlJc w:val="left"/>
      <w:pPr>
        <w:tabs>
          <w:tab w:val="left" w:pos="1200"/>
        </w:tabs>
        <w:ind w:left="1200" w:hanging="360"/>
      </w:pPr>
      <w:rPr>
        <w:rFonts w:hint="default" w:ascii="Arial" w:hAnsi="Arial" w:eastAsia="宋体"/>
        <w:b w:val="0"/>
        <w:i w:val="0"/>
        <w:sz w:val="23"/>
        <w:szCs w:val="23"/>
      </w:rPr>
    </w:lvl>
    <w:lvl w:ilvl="3" w:tentative="0">
      <w:start w:val="1"/>
      <w:numFmt w:val="japaneseCounting"/>
      <w:lvlText w:val="（%4）"/>
      <w:lvlJc w:val="left"/>
      <w:pPr>
        <w:tabs>
          <w:tab w:val="left" w:pos="1980"/>
        </w:tabs>
        <w:ind w:left="1980" w:hanging="720"/>
      </w:pPr>
      <w:rPr>
        <w:rFonts w:hint="default"/>
      </w:rPr>
    </w:lvl>
    <w:lvl w:ilvl="4" w:tentative="0">
      <w:start w:val="1"/>
      <w:numFmt w:val="japaneseCounting"/>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070076"/>
    <w:multiLevelType w:val="multilevel"/>
    <w:tmpl w:val="44070076"/>
    <w:lvl w:ilvl="0" w:tentative="0">
      <w:start w:val="1"/>
      <w:numFmt w:val="japaneseCounting"/>
      <w:lvlText w:val="第%1章"/>
      <w:lvlJc w:val="left"/>
      <w:pPr>
        <w:tabs>
          <w:tab w:val="left" w:pos="4260"/>
        </w:tabs>
        <w:ind w:left="4260" w:hanging="825"/>
      </w:pPr>
      <w:rPr>
        <w:rFonts w:hint="eastAsia" w:ascii="宋体" w:hAnsi="宋体" w:eastAsia="宋体" w:cs="宋体"/>
        <w:b/>
      </w:rPr>
    </w:lvl>
    <w:lvl w:ilvl="1" w:tentative="0">
      <w:start w:val="1"/>
      <w:numFmt w:val="japaneseCounting"/>
      <w:lvlText w:val="第%2条"/>
      <w:lvlJc w:val="left"/>
      <w:pPr>
        <w:tabs>
          <w:tab w:val="left" w:pos="4575"/>
        </w:tabs>
        <w:ind w:left="4575" w:hanging="720"/>
      </w:pPr>
      <w:rPr>
        <w:rFonts w:hint="default"/>
      </w:rPr>
    </w:lvl>
    <w:lvl w:ilvl="2" w:tentative="0">
      <w:start w:val="1"/>
      <w:numFmt w:val="lowerRoman"/>
      <w:lvlText w:val="%3."/>
      <w:lvlJc w:val="right"/>
      <w:pPr>
        <w:tabs>
          <w:tab w:val="left" w:pos="4695"/>
        </w:tabs>
        <w:ind w:left="4695" w:hanging="420"/>
      </w:pPr>
    </w:lvl>
    <w:lvl w:ilvl="3" w:tentative="0">
      <w:start w:val="1"/>
      <w:numFmt w:val="decimal"/>
      <w:lvlText w:val="%4."/>
      <w:lvlJc w:val="left"/>
      <w:pPr>
        <w:tabs>
          <w:tab w:val="left" w:pos="5115"/>
        </w:tabs>
        <w:ind w:left="5115" w:hanging="420"/>
      </w:pPr>
    </w:lvl>
    <w:lvl w:ilvl="4" w:tentative="0">
      <w:start w:val="1"/>
      <w:numFmt w:val="lowerLetter"/>
      <w:lvlText w:val="%5)"/>
      <w:lvlJc w:val="left"/>
      <w:pPr>
        <w:tabs>
          <w:tab w:val="left" w:pos="5535"/>
        </w:tabs>
        <w:ind w:left="5535" w:hanging="420"/>
      </w:pPr>
    </w:lvl>
    <w:lvl w:ilvl="5" w:tentative="0">
      <w:start w:val="1"/>
      <w:numFmt w:val="lowerRoman"/>
      <w:lvlText w:val="%6."/>
      <w:lvlJc w:val="right"/>
      <w:pPr>
        <w:tabs>
          <w:tab w:val="left" w:pos="5955"/>
        </w:tabs>
        <w:ind w:left="5955" w:hanging="420"/>
      </w:pPr>
    </w:lvl>
    <w:lvl w:ilvl="6" w:tentative="0">
      <w:start w:val="1"/>
      <w:numFmt w:val="decimal"/>
      <w:lvlText w:val="%7."/>
      <w:lvlJc w:val="left"/>
      <w:pPr>
        <w:tabs>
          <w:tab w:val="left" w:pos="6375"/>
        </w:tabs>
        <w:ind w:left="6375" w:hanging="420"/>
      </w:pPr>
    </w:lvl>
    <w:lvl w:ilvl="7" w:tentative="0">
      <w:start w:val="1"/>
      <w:numFmt w:val="lowerLetter"/>
      <w:lvlText w:val="%8)"/>
      <w:lvlJc w:val="left"/>
      <w:pPr>
        <w:tabs>
          <w:tab w:val="left" w:pos="6795"/>
        </w:tabs>
        <w:ind w:left="6795" w:hanging="420"/>
      </w:pPr>
    </w:lvl>
    <w:lvl w:ilvl="8" w:tentative="0">
      <w:start w:val="1"/>
      <w:numFmt w:val="lowerRoman"/>
      <w:lvlText w:val="%9."/>
      <w:lvlJc w:val="right"/>
      <w:pPr>
        <w:tabs>
          <w:tab w:val="left" w:pos="7215"/>
        </w:tabs>
        <w:ind w:left="7215" w:hanging="420"/>
      </w:pPr>
    </w:lvl>
  </w:abstractNum>
  <w:abstractNum w:abstractNumId="3">
    <w:nsid w:val="5C805375"/>
    <w:multiLevelType w:val="multilevel"/>
    <w:tmpl w:val="5C805375"/>
    <w:lvl w:ilvl="0" w:tentative="0">
      <w:start w:val="1"/>
      <w:numFmt w:val="chineseCountingThousand"/>
      <w:lvlText w:val="(%1)"/>
      <w:lvlJc w:val="left"/>
      <w:pPr>
        <w:ind w:left="1861" w:hanging="420"/>
      </w:pPr>
    </w:lvl>
    <w:lvl w:ilvl="1" w:tentative="0">
      <w:start w:val="1"/>
      <w:numFmt w:val="lowerLetter"/>
      <w:lvlText w:val="%2)"/>
      <w:lvlJc w:val="left"/>
      <w:pPr>
        <w:ind w:left="2281" w:hanging="420"/>
      </w:pPr>
    </w:lvl>
    <w:lvl w:ilvl="2" w:tentative="0">
      <w:start w:val="1"/>
      <w:numFmt w:val="lowerRoman"/>
      <w:lvlText w:val="%3."/>
      <w:lvlJc w:val="right"/>
      <w:pPr>
        <w:ind w:left="2701" w:hanging="420"/>
      </w:pPr>
    </w:lvl>
    <w:lvl w:ilvl="3" w:tentative="0">
      <w:start w:val="1"/>
      <w:numFmt w:val="decimal"/>
      <w:lvlText w:val="%4."/>
      <w:lvlJc w:val="left"/>
      <w:pPr>
        <w:ind w:left="3121" w:hanging="420"/>
      </w:pPr>
    </w:lvl>
    <w:lvl w:ilvl="4" w:tentative="0">
      <w:start w:val="1"/>
      <w:numFmt w:val="lowerLetter"/>
      <w:lvlText w:val="%5)"/>
      <w:lvlJc w:val="left"/>
      <w:pPr>
        <w:ind w:left="3541" w:hanging="420"/>
      </w:pPr>
    </w:lvl>
    <w:lvl w:ilvl="5" w:tentative="0">
      <w:start w:val="1"/>
      <w:numFmt w:val="lowerRoman"/>
      <w:lvlText w:val="%6."/>
      <w:lvlJc w:val="right"/>
      <w:pPr>
        <w:ind w:left="3961" w:hanging="420"/>
      </w:pPr>
    </w:lvl>
    <w:lvl w:ilvl="6" w:tentative="0">
      <w:start w:val="1"/>
      <w:numFmt w:val="decimal"/>
      <w:lvlText w:val="%7."/>
      <w:lvlJc w:val="left"/>
      <w:pPr>
        <w:ind w:left="4381" w:hanging="420"/>
      </w:pPr>
    </w:lvl>
    <w:lvl w:ilvl="7" w:tentative="0">
      <w:start w:val="1"/>
      <w:numFmt w:val="lowerLetter"/>
      <w:lvlText w:val="%8)"/>
      <w:lvlJc w:val="left"/>
      <w:pPr>
        <w:ind w:left="4801" w:hanging="420"/>
      </w:pPr>
    </w:lvl>
    <w:lvl w:ilvl="8" w:tentative="0">
      <w:start w:val="1"/>
      <w:numFmt w:val="lowerRoman"/>
      <w:lvlText w:val="%9."/>
      <w:lvlJc w:val="right"/>
      <w:pPr>
        <w:ind w:left="5221"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38F"/>
    <w:rsid w:val="0000184D"/>
    <w:rsid w:val="0001227D"/>
    <w:rsid w:val="000222D2"/>
    <w:rsid w:val="0003167B"/>
    <w:rsid w:val="00032C35"/>
    <w:rsid w:val="00044712"/>
    <w:rsid w:val="00050444"/>
    <w:rsid w:val="00065774"/>
    <w:rsid w:val="00066EFB"/>
    <w:rsid w:val="0008424D"/>
    <w:rsid w:val="000B1287"/>
    <w:rsid w:val="000B4C33"/>
    <w:rsid w:val="000B4FA1"/>
    <w:rsid w:val="000B56C9"/>
    <w:rsid w:val="000C4609"/>
    <w:rsid w:val="000D1E2C"/>
    <w:rsid w:val="000E71C4"/>
    <w:rsid w:val="000F2E93"/>
    <w:rsid w:val="000F2FD5"/>
    <w:rsid w:val="00107AAC"/>
    <w:rsid w:val="0011763D"/>
    <w:rsid w:val="00133778"/>
    <w:rsid w:val="00135A34"/>
    <w:rsid w:val="00147737"/>
    <w:rsid w:val="00151D09"/>
    <w:rsid w:val="00154FD6"/>
    <w:rsid w:val="00177E76"/>
    <w:rsid w:val="001928BD"/>
    <w:rsid w:val="00192E70"/>
    <w:rsid w:val="001A036A"/>
    <w:rsid w:val="001A19F9"/>
    <w:rsid w:val="001B7E62"/>
    <w:rsid w:val="001C65D8"/>
    <w:rsid w:val="001D10A5"/>
    <w:rsid w:val="001D621F"/>
    <w:rsid w:val="001D6C3A"/>
    <w:rsid w:val="001F7875"/>
    <w:rsid w:val="0020064D"/>
    <w:rsid w:val="002049BD"/>
    <w:rsid w:val="00207CD0"/>
    <w:rsid w:val="0021098B"/>
    <w:rsid w:val="00214182"/>
    <w:rsid w:val="0021585F"/>
    <w:rsid w:val="002276DF"/>
    <w:rsid w:val="00232F62"/>
    <w:rsid w:val="00235C9C"/>
    <w:rsid w:val="0025524A"/>
    <w:rsid w:val="00275452"/>
    <w:rsid w:val="00280053"/>
    <w:rsid w:val="002A567F"/>
    <w:rsid w:val="002A6027"/>
    <w:rsid w:val="002B5182"/>
    <w:rsid w:val="002B6075"/>
    <w:rsid w:val="002C04DF"/>
    <w:rsid w:val="002D2FD6"/>
    <w:rsid w:val="002D463E"/>
    <w:rsid w:val="002F45B1"/>
    <w:rsid w:val="00306975"/>
    <w:rsid w:val="003142F3"/>
    <w:rsid w:val="00316227"/>
    <w:rsid w:val="00330108"/>
    <w:rsid w:val="003337CE"/>
    <w:rsid w:val="003453C6"/>
    <w:rsid w:val="00347CB6"/>
    <w:rsid w:val="00357EA7"/>
    <w:rsid w:val="00385F69"/>
    <w:rsid w:val="003A456A"/>
    <w:rsid w:val="003A6AD8"/>
    <w:rsid w:val="003B2E38"/>
    <w:rsid w:val="003C7559"/>
    <w:rsid w:val="003C7EE9"/>
    <w:rsid w:val="003D41F9"/>
    <w:rsid w:val="003F2BDB"/>
    <w:rsid w:val="00400F5B"/>
    <w:rsid w:val="004042ED"/>
    <w:rsid w:val="00406B90"/>
    <w:rsid w:val="0041099F"/>
    <w:rsid w:val="004220AB"/>
    <w:rsid w:val="004335D7"/>
    <w:rsid w:val="00435115"/>
    <w:rsid w:val="00441912"/>
    <w:rsid w:val="004503D0"/>
    <w:rsid w:val="00464694"/>
    <w:rsid w:val="00464BF5"/>
    <w:rsid w:val="00480C62"/>
    <w:rsid w:val="00483F82"/>
    <w:rsid w:val="0048545D"/>
    <w:rsid w:val="00493183"/>
    <w:rsid w:val="004B2582"/>
    <w:rsid w:val="004B2C1E"/>
    <w:rsid w:val="004C5D36"/>
    <w:rsid w:val="004C7FB1"/>
    <w:rsid w:val="004E12DE"/>
    <w:rsid w:val="004E1703"/>
    <w:rsid w:val="004F62F2"/>
    <w:rsid w:val="00510867"/>
    <w:rsid w:val="00510F5B"/>
    <w:rsid w:val="005148E6"/>
    <w:rsid w:val="00526264"/>
    <w:rsid w:val="00537850"/>
    <w:rsid w:val="00541947"/>
    <w:rsid w:val="00563486"/>
    <w:rsid w:val="005676D4"/>
    <w:rsid w:val="00567DFB"/>
    <w:rsid w:val="00575DD1"/>
    <w:rsid w:val="005816F1"/>
    <w:rsid w:val="005839E5"/>
    <w:rsid w:val="005A0036"/>
    <w:rsid w:val="005B0A92"/>
    <w:rsid w:val="005C0553"/>
    <w:rsid w:val="005D02A9"/>
    <w:rsid w:val="005E4A51"/>
    <w:rsid w:val="005E5D36"/>
    <w:rsid w:val="005F0345"/>
    <w:rsid w:val="005F1284"/>
    <w:rsid w:val="005F38A1"/>
    <w:rsid w:val="00600193"/>
    <w:rsid w:val="006062C1"/>
    <w:rsid w:val="00610943"/>
    <w:rsid w:val="00623C89"/>
    <w:rsid w:val="00630C3D"/>
    <w:rsid w:val="0063307D"/>
    <w:rsid w:val="00635096"/>
    <w:rsid w:val="00641428"/>
    <w:rsid w:val="006509F6"/>
    <w:rsid w:val="00651951"/>
    <w:rsid w:val="0067470E"/>
    <w:rsid w:val="006A6240"/>
    <w:rsid w:val="006B72E5"/>
    <w:rsid w:val="006C0048"/>
    <w:rsid w:val="006C22F3"/>
    <w:rsid w:val="006C524F"/>
    <w:rsid w:val="006C7BCD"/>
    <w:rsid w:val="006C7BF6"/>
    <w:rsid w:val="006D0AAB"/>
    <w:rsid w:val="006E03D5"/>
    <w:rsid w:val="006E1E5B"/>
    <w:rsid w:val="006E224A"/>
    <w:rsid w:val="00700FA2"/>
    <w:rsid w:val="00715F0F"/>
    <w:rsid w:val="00732191"/>
    <w:rsid w:val="00740A9C"/>
    <w:rsid w:val="0074429D"/>
    <w:rsid w:val="0075525B"/>
    <w:rsid w:val="007555EB"/>
    <w:rsid w:val="0075603C"/>
    <w:rsid w:val="00762AA5"/>
    <w:rsid w:val="0076387A"/>
    <w:rsid w:val="00765DF4"/>
    <w:rsid w:val="007670B1"/>
    <w:rsid w:val="0078579B"/>
    <w:rsid w:val="00793ADB"/>
    <w:rsid w:val="00794E4B"/>
    <w:rsid w:val="00795A85"/>
    <w:rsid w:val="007A3642"/>
    <w:rsid w:val="007A7D45"/>
    <w:rsid w:val="007B1634"/>
    <w:rsid w:val="007B24F0"/>
    <w:rsid w:val="007C739C"/>
    <w:rsid w:val="007C79B8"/>
    <w:rsid w:val="007E4509"/>
    <w:rsid w:val="007E4B47"/>
    <w:rsid w:val="007F25AF"/>
    <w:rsid w:val="007F5A0F"/>
    <w:rsid w:val="00800443"/>
    <w:rsid w:val="00806DFC"/>
    <w:rsid w:val="00822749"/>
    <w:rsid w:val="008254C1"/>
    <w:rsid w:val="008254CB"/>
    <w:rsid w:val="008336F9"/>
    <w:rsid w:val="00833BF2"/>
    <w:rsid w:val="00845D60"/>
    <w:rsid w:val="008536A0"/>
    <w:rsid w:val="008640A0"/>
    <w:rsid w:val="00867B6C"/>
    <w:rsid w:val="00880E5B"/>
    <w:rsid w:val="00883E62"/>
    <w:rsid w:val="008850C7"/>
    <w:rsid w:val="008A342B"/>
    <w:rsid w:val="008B15C1"/>
    <w:rsid w:val="008B69F6"/>
    <w:rsid w:val="008D00E3"/>
    <w:rsid w:val="008D65D1"/>
    <w:rsid w:val="008E5C59"/>
    <w:rsid w:val="009011A6"/>
    <w:rsid w:val="00901C68"/>
    <w:rsid w:val="00903950"/>
    <w:rsid w:val="00912D55"/>
    <w:rsid w:val="00932D98"/>
    <w:rsid w:val="00936A1D"/>
    <w:rsid w:val="00943F43"/>
    <w:rsid w:val="00952A95"/>
    <w:rsid w:val="00962720"/>
    <w:rsid w:val="009721F3"/>
    <w:rsid w:val="00983BA3"/>
    <w:rsid w:val="00985803"/>
    <w:rsid w:val="00987981"/>
    <w:rsid w:val="00993AF1"/>
    <w:rsid w:val="009A57C8"/>
    <w:rsid w:val="009C68CA"/>
    <w:rsid w:val="009D1530"/>
    <w:rsid w:val="009D776C"/>
    <w:rsid w:val="009E251A"/>
    <w:rsid w:val="009F3ADF"/>
    <w:rsid w:val="00A149EB"/>
    <w:rsid w:val="00A15BC3"/>
    <w:rsid w:val="00A166B6"/>
    <w:rsid w:val="00A201BD"/>
    <w:rsid w:val="00A415A7"/>
    <w:rsid w:val="00A41AB9"/>
    <w:rsid w:val="00A44472"/>
    <w:rsid w:val="00A56CEA"/>
    <w:rsid w:val="00A61C71"/>
    <w:rsid w:val="00A825AA"/>
    <w:rsid w:val="00A9076F"/>
    <w:rsid w:val="00A958B6"/>
    <w:rsid w:val="00AA2AA6"/>
    <w:rsid w:val="00AB1B2E"/>
    <w:rsid w:val="00AB3891"/>
    <w:rsid w:val="00AC721B"/>
    <w:rsid w:val="00AC7CC7"/>
    <w:rsid w:val="00AC7CF7"/>
    <w:rsid w:val="00AD22A0"/>
    <w:rsid w:val="00AE47E4"/>
    <w:rsid w:val="00AE5EC7"/>
    <w:rsid w:val="00AF2544"/>
    <w:rsid w:val="00AF35D4"/>
    <w:rsid w:val="00B009E9"/>
    <w:rsid w:val="00B03F86"/>
    <w:rsid w:val="00B06F55"/>
    <w:rsid w:val="00B13566"/>
    <w:rsid w:val="00B35EF9"/>
    <w:rsid w:val="00B420F0"/>
    <w:rsid w:val="00B53D12"/>
    <w:rsid w:val="00B57910"/>
    <w:rsid w:val="00B7146A"/>
    <w:rsid w:val="00B75C21"/>
    <w:rsid w:val="00BA050B"/>
    <w:rsid w:val="00BA3393"/>
    <w:rsid w:val="00BC6034"/>
    <w:rsid w:val="00BD44BA"/>
    <w:rsid w:val="00BE0386"/>
    <w:rsid w:val="00BE1795"/>
    <w:rsid w:val="00BE5C2F"/>
    <w:rsid w:val="00BF3146"/>
    <w:rsid w:val="00BF6B63"/>
    <w:rsid w:val="00C04533"/>
    <w:rsid w:val="00C07183"/>
    <w:rsid w:val="00C151B0"/>
    <w:rsid w:val="00C21508"/>
    <w:rsid w:val="00C21FC9"/>
    <w:rsid w:val="00C24CEE"/>
    <w:rsid w:val="00C27DA1"/>
    <w:rsid w:val="00C307D2"/>
    <w:rsid w:val="00C351EE"/>
    <w:rsid w:val="00C36A0F"/>
    <w:rsid w:val="00C45DB9"/>
    <w:rsid w:val="00C7114B"/>
    <w:rsid w:val="00C73507"/>
    <w:rsid w:val="00C775BC"/>
    <w:rsid w:val="00C90BD2"/>
    <w:rsid w:val="00CA2A9B"/>
    <w:rsid w:val="00CB6A96"/>
    <w:rsid w:val="00CD0890"/>
    <w:rsid w:val="00CD49C5"/>
    <w:rsid w:val="00CD6DE3"/>
    <w:rsid w:val="00CE04D5"/>
    <w:rsid w:val="00CF1EE7"/>
    <w:rsid w:val="00D01907"/>
    <w:rsid w:val="00D05617"/>
    <w:rsid w:val="00D06907"/>
    <w:rsid w:val="00D30385"/>
    <w:rsid w:val="00D33133"/>
    <w:rsid w:val="00D35DCB"/>
    <w:rsid w:val="00D44F3D"/>
    <w:rsid w:val="00D4598B"/>
    <w:rsid w:val="00D52A54"/>
    <w:rsid w:val="00D6040F"/>
    <w:rsid w:val="00D77AC1"/>
    <w:rsid w:val="00D875AD"/>
    <w:rsid w:val="00D877E8"/>
    <w:rsid w:val="00DA02E4"/>
    <w:rsid w:val="00DA195A"/>
    <w:rsid w:val="00DA6191"/>
    <w:rsid w:val="00DC1A7F"/>
    <w:rsid w:val="00DD611D"/>
    <w:rsid w:val="00DE63C0"/>
    <w:rsid w:val="00DF4439"/>
    <w:rsid w:val="00E00B80"/>
    <w:rsid w:val="00E01420"/>
    <w:rsid w:val="00E045D4"/>
    <w:rsid w:val="00E1186B"/>
    <w:rsid w:val="00E14B6A"/>
    <w:rsid w:val="00E261BA"/>
    <w:rsid w:val="00E263D0"/>
    <w:rsid w:val="00E506FC"/>
    <w:rsid w:val="00E55264"/>
    <w:rsid w:val="00E579DD"/>
    <w:rsid w:val="00E6544B"/>
    <w:rsid w:val="00E84DF9"/>
    <w:rsid w:val="00E91A9C"/>
    <w:rsid w:val="00EA4A69"/>
    <w:rsid w:val="00EB08C7"/>
    <w:rsid w:val="00EB2011"/>
    <w:rsid w:val="00EC1E4E"/>
    <w:rsid w:val="00EF7282"/>
    <w:rsid w:val="00F022B8"/>
    <w:rsid w:val="00F03C52"/>
    <w:rsid w:val="00F10166"/>
    <w:rsid w:val="00F10476"/>
    <w:rsid w:val="00F11E88"/>
    <w:rsid w:val="00F13E26"/>
    <w:rsid w:val="00F14561"/>
    <w:rsid w:val="00F41B5D"/>
    <w:rsid w:val="00F41BFE"/>
    <w:rsid w:val="00F45A0D"/>
    <w:rsid w:val="00F46573"/>
    <w:rsid w:val="00F5482E"/>
    <w:rsid w:val="00F54AAE"/>
    <w:rsid w:val="00F56E84"/>
    <w:rsid w:val="00F603C0"/>
    <w:rsid w:val="00F61521"/>
    <w:rsid w:val="00F70BF5"/>
    <w:rsid w:val="00F72CC1"/>
    <w:rsid w:val="00F7653D"/>
    <w:rsid w:val="00FA46BA"/>
    <w:rsid w:val="00FC2B24"/>
    <w:rsid w:val="00FF1A32"/>
    <w:rsid w:val="00FF4C9E"/>
    <w:rsid w:val="00FF7781"/>
    <w:rsid w:val="01DB7898"/>
    <w:rsid w:val="078A05E3"/>
    <w:rsid w:val="14D02500"/>
    <w:rsid w:val="3FCB71B2"/>
    <w:rsid w:val="480408B7"/>
    <w:rsid w:val="554E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uiPriority w:val="0"/>
    <w:rPr>
      <w:rFonts w:eastAsia="宋体"/>
      <w:kern w:val="2"/>
      <w:sz w:val="18"/>
      <w:szCs w:val="18"/>
      <w:lang w:val="en-US" w:eastAsia="zh-CN" w:bidi="ar-SA"/>
    </w:rPr>
  </w:style>
  <w:style w:type="paragraph" w:customStyle="1" w:styleId="9">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0">
    <w:name w:val="Char"/>
    <w:basedOn w:val="1"/>
    <w:qFormat/>
    <w:uiPriority w:val="0"/>
    <w:pPr>
      <w:widowControl/>
      <w:spacing w:after="160" w:line="240" w:lineRule="exact"/>
      <w:jc w:val="left"/>
    </w:pPr>
    <w:rPr>
      <w:kern w:val="0"/>
      <w:sz w:val="20"/>
      <w:szCs w:val="20"/>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CM1"/>
    <w:basedOn w:val="11"/>
    <w:next w:val="11"/>
    <w:uiPriority w:val="0"/>
    <w:pPr>
      <w:spacing w:line="468" w:lineRule="atLeast"/>
    </w:pPr>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1832</Words>
  <Characters>1884</Characters>
  <Lines>14</Lines>
  <Paragraphs>4</Paragraphs>
  <TotalTime>1</TotalTime>
  <ScaleCrop>false</ScaleCrop>
  <LinksUpToDate>false</LinksUpToDate>
  <CharactersWithSpaces>1952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2015-06-06T05:43:00Z</dcterms:created>
  <dc:creator>Llinks</dc:creator>
  <cp:lastModifiedBy>lln</cp:lastModifiedBy>
  <dcterms:modified xsi:type="dcterms:W3CDTF">2025-08-19T10:11:51Z</dcterms:modified>
  <dc:title>议案十四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120049C4061C4E7394736F41F0911776_13</vt:lpwstr>
  </property>
</Properties>
</file>